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邯郸科技职业学院</w:t>
      </w:r>
    </w:p>
    <w:p w14:paraId="419C671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360168</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w:t>
      </w:r>
      <w:r>
        <w:rPr>
          <w:rFonts w:hint="eastAsia" w:ascii="楷体_GB2312" w:hAnsi="楷体_GB2312" w:eastAsia="楷体_GB2312" w:cs="楷体_GB2312"/>
          <w:b/>
          <w:bCs/>
          <w:color w:val="0D0D0D" w:themeColor="text1" w:themeTint="F2"/>
          <w:sz w:val="48"/>
          <w:szCs w:val="56"/>
          <w:lang w:val="en-US" w:eastAsia="zh-CN"/>
          <w14:textFill>
            <w14:solidFill>
              <w14:schemeClr w14:val="tx1">
                <w14:lumMod w14:val="95000"/>
                <w14:lumOff w14:val="5000"/>
              </w14:schemeClr>
            </w14:solidFill>
          </w14:textFill>
        </w:rPr>
        <w:t>九</w:t>
      </w: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月</w:t>
      </w:r>
    </w:p>
    <w:p w14:paraId="6E4EE8C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bookmarkStart w:id="0" w:name="_GoBack"/>
      <w:bookmarkEnd w:id="0"/>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7B9E4878">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邯郸科技职业学院</w:t>
      </w:r>
    </w:p>
    <w:p w14:paraId="6BB845A4">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2C4E0C54">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邯郸科技职业学院</w:t>
      </w:r>
    </w:p>
    <w:p w14:paraId="3716802F">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14:paraId="2F2A8A37">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w:t>
      </w:r>
      <w:r>
        <w:rPr>
          <w:rFonts w:hint="eastAsia" w:ascii="Times New Roman" w:eastAsia="楷体_GB2312"/>
          <w:b w:val="0"/>
          <w:sz w:val="44"/>
          <w:szCs w:val="44"/>
          <w:lang w:val="en-US" w:eastAsia="zh-CN"/>
        </w:rPr>
        <w:t>九</w:t>
      </w:r>
      <w:r>
        <w:rPr>
          <w:rFonts w:ascii="Times New Roman" w:eastAsia="楷体_GB2312"/>
          <w:b w:val="0"/>
          <w:sz w:val="44"/>
          <w:szCs w:val="44"/>
        </w:rPr>
        <w:t>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184A7D58">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12A250A6">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14:paraId="232BD35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14:paraId="54CE041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704FDE7D">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011884E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5D39580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556ABDB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601BD4D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7144F38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22AFED8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66ABEEE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54DCB58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2C0C989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65CE61EB">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28B7DB6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3FC79F2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2E12539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240062E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397ACFF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5898B01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18E0E9D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5FE5AB4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6824510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01EF8C3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48C29841">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D901DE1">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BAD2BCA">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14:paraId="2BBB99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F2AE7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80915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D52C9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D17C2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32F3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34170AD3">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14:paraId="751C0DA4">
      <w:pPr>
        <w:widowControl/>
        <w:spacing w:line="360" w:lineRule="auto"/>
        <w:ind w:firstLine="640" w:firstLineChars="200"/>
        <w:jc w:val="left"/>
        <w:rPr>
          <w:rFonts w:ascii="仿宋" w:hAnsi="仿宋" w:eastAsia="仿宋"/>
          <w:sz w:val="32"/>
          <w:szCs w:val="32"/>
        </w:rPr>
      </w:pPr>
      <w:r>
        <w:rPr>
          <w:rFonts w:ascii="仿宋" w:hAnsi="仿宋" w:eastAsia="仿宋"/>
          <w:sz w:val="32"/>
          <w:szCs w:val="32"/>
        </w:rPr>
        <w:t>邯郸科技职业学院为财政性资金保证经费事业单位，培养大专学历职业人才；开展都市农业、装备制造、能源和新材料、健康服务管理、财经管理、计算机应用等专业群各专业大专学历教育；开展科学研究、继续教育、专业培训、学术交流、社会服务等。</w:t>
      </w:r>
      <w:r>
        <w:rPr>
          <w:rFonts w:hint="eastAsia" w:ascii="MS Mincho" w:hAnsi="MS Mincho" w:eastAsia="MS Mincho" w:cs="MS Mincho"/>
          <w:sz w:val="32"/>
          <w:szCs w:val="32"/>
        </w:rPr>
        <w:t>​</w:t>
      </w:r>
    </w:p>
    <w:p w14:paraId="1793C9AF">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2B663F4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265"/>
        <w:gridCol w:w="2850"/>
        <w:gridCol w:w="2480"/>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26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850"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480"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265" w:type="dxa"/>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邯郸科技职业学院</w:t>
            </w:r>
          </w:p>
        </w:tc>
        <w:tc>
          <w:tcPr>
            <w:tcW w:w="2850" w:type="dxa"/>
          </w:tcPr>
          <w:p w14:paraId="2E443189">
            <w:pPr>
              <w:spacing w:line="560" w:lineRule="exact"/>
              <w:jc w:val="center"/>
              <w:rPr>
                <w:rFonts w:ascii="仿宋_GB2312" w:hAnsi="Calibri" w:eastAsia="仿宋_GB2312" w:cs="ArialUnicodeMS"/>
                <w:kern w:val="0"/>
                <w:sz w:val="28"/>
                <w:szCs w:val="28"/>
              </w:rPr>
            </w:pPr>
            <w:r>
              <w:rPr>
                <w:rFonts w:hint="eastAsia" w:ascii="仿宋" w:hAnsi="仿宋" w:eastAsia="仿宋"/>
                <w:sz w:val="32"/>
                <w:szCs w:val="32"/>
              </w:rPr>
              <w:t>财政</w:t>
            </w:r>
            <w:r>
              <w:rPr>
                <w:rFonts w:ascii="仿宋" w:hAnsi="仿宋" w:eastAsia="仿宋"/>
                <w:sz w:val="32"/>
                <w:szCs w:val="32"/>
              </w:rPr>
              <w:t>补助事业单位</w:t>
            </w:r>
          </w:p>
        </w:tc>
        <w:tc>
          <w:tcPr>
            <w:tcW w:w="2480" w:type="dxa"/>
          </w:tcPr>
          <w:p w14:paraId="3FEF84E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3AB629F3">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7108D05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86D00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8C32FA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036BF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B802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716C8822">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01D1C24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ECB4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7B5C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334CA2">
      <w:pPr>
        <w:bidi w:val="0"/>
        <w:rPr>
          <w:rFonts w:hint="default"/>
          <w:lang w:val="en-US" w:eastAsia="zh-CN"/>
        </w:rPr>
      </w:pPr>
    </w:p>
    <w:p w14:paraId="500E5C00">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部门（单位）：邯郸科技职业学院</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14,289.16</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4,901.65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15,613.71</w:t>
            </w: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2.89</w:t>
            </w: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2,113.43</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820.95</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639.83</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19,190.80</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19,190.80</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19,190.80</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19,190.80</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部门（单位）：邯郸科技职业学院                                                                                                         </w:t>
            </w:r>
          </w:p>
        </w:tc>
        <w:tc>
          <w:tcPr>
            <w:tcW w:w="3405"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19,190.80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14,289.16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4,901.65</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教育支出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15,613.71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10,712.06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4,901.65</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EF83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9D1B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20503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0401A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职业教育</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23BE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15,613.71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D918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10,712.06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DC49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3E4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4,901.65</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6D0F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ACB7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7609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524A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F169A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2050302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CBB32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中等职业教育</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9B13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37.22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9FCD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37.22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A32D9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623C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005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BCC79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136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5C8B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ABAFD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2050305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A6166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高等职业教育</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46211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15,576.48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00A8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10,674.84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6879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606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4,901.65</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8A4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4E62D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0DD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F721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0E98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6DE49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科学技术支出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0B07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25371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261D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2E3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C8E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92A1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A09B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96BE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DBF6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207D6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科技条件与服务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7DF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744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2DE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2FE6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C883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54CC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4458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4065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F664A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2060502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2C255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技术创新服务体系</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01F0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643A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F6DA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E900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FE0C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C2B6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DC4B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B6CB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AB7F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666C5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C79C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2,113.43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2FE0B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2,113.43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BAF7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2F5C8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22A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708F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C1E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DBFD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55BC7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73E09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284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2,113.43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897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2,113.43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D7E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D800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A0417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7B9D9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390B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2306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BD8E2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3220C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B4710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1,942.02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30A9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1,942.02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0257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E23DC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3366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F7041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2396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1C36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70F64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AD726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机关事业单位职业年金缴费支出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99569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171.41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535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171.41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EA3F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2AD6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4C3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28D8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714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3A16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B416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19DFC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71B9B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820.95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2C39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820.95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7851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2AC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670C9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945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0DE4C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DDF6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F6670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76049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946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820.95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95D5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820.95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A775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3A6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BC46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3617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203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BE40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FC37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547D4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126C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308.64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513D7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308.64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DCFFA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E39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956D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CBB4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9FFB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BFCD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86C5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FC92F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46D1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512.31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4B6C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512.31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3428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4DA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CC6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B62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ED3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B1C3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196B0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87954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861D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639.83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6E6A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639.83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1F53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4195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762E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566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619C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D607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91B0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65EF3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27B0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639.83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1017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639.83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08C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3AC5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9ED6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70E8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87F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72EC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AA317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3139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69C99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639.83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C60A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639.83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1010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57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D15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D6E1C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99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部门（单位）：邯郸科技职业学院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19,190.80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12,747.00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6,443.80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教育支出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15,613.71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9,172.79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6,440.92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1679F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6070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E4BC2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职业教育</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18508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15,613.71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050E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9,172.79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E48FA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6,440.92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5A78F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98CAB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7ACB3D">
            <w:pPr>
              <w:jc w:val="right"/>
              <w:rPr>
                <w:rFonts w:hint="default" w:ascii="Times New Roman" w:hAnsi="Times New Roman" w:eastAsia="宋体" w:cs="Times New Roman"/>
                <w:i w:val="0"/>
                <w:iCs w:val="0"/>
                <w:color w:val="000000"/>
                <w:sz w:val="20"/>
                <w:szCs w:val="20"/>
                <w:highlight w:val="none"/>
                <w:u w:val="none"/>
              </w:rPr>
            </w:pPr>
          </w:p>
        </w:tc>
      </w:tr>
      <w:tr w14:paraId="21BF9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C6E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2050302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40B5B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中等职业教育</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F8191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37.22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AFB07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8BC36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37.22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2103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5D2F5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38D2D2">
            <w:pPr>
              <w:jc w:val="right"/>
              <w:rPr>
                <w:rFonts w:hint="default" w:ascii="Times New Roman" w:hAnsi="Times New Roman" w:eastAsia="宋体" w:cs="Times New Roman"/>
                <w:i w:val="0"/>
                <w:iCs w:val="0"/>
                <w:color w:val="000000"/>
                <w:sz w:val="20"/>
                <w:szCs w:val="20"/>
                <w:highlight w:val="none"/>
                <w:u w:val="none"/>
              </w:rPr>
            </w:pPr>
          </w:p>
        </w:tc>
      </w:tr>
      <w:tr w14:paraId="7D535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7C05F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2050305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3C16E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高等职业教育</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82EC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15,576.48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5384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9,172.79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CA56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6,403.69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5DB80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39C0A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CBBCA">
            <w:pPr>
              <w:jc w:val="right"/>
              <w:rPr>
                <w:rFonts w:hint="default" w:ascii="Times New Roman" w:hAnsi="Times New Roman" w:eastAsia="宋体" w:cs="Times New Roman"/>
                <w:i w:val="0"/>
                <w:iCs w:val="0"/>
                <w:color w:val="000000"/>
                <w:sz w:val="20"/>
                <w:szCs w:val="20"/>
                <w:highlight w:val="none"/>
                <w:u w:val="none"/>
              </w:rPr>
            </w:pPr>
          </w:p>
        </w:tc>
      </w:tr>
      <w:tr w14:paraId="620E9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E6968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CF406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406B2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D04A7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2E96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365D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63D2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CDDA81">
            <w:pPr>
              <w:jc w:val="right"/>
              <w:rPr>
                <w:rFonts w:hint="default" w:ascii="Times New Roman" w:hAnsi="Times New Roman" w:eastAsia="宋体" w:cs="Times New Roman"/>
                <w:i w:val="0"/>
                <w:iCs w:val="0"/>
                <w:color w:val="000000"/>
                <w:sz w:val="20"/>
                <w:szCs w:val="20"/>
                <w:highlight w:val="none"/>
                <w:u w:val="none"/>
              </w:rPr>
            </w:pPr>
          </w:p>
        </w:tc>
      </w:tr>
      <w:tr w14:paraId="5DCAF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A271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24DAF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科技条件与服务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F6B83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A117A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344A9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0C39A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3445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A6C39F">
            <w:pPr>
              <w:jc w:val="right"/>
              <w:rPr>
                <w:rFonts w:hint="default" w:ascii="Times New Roman" w:hAnsi="Times New Roman" w:eastAsia="宋体" w:cs="Times New Roman"/>
                <w:i w:val="0"/>
                <w:iCs w:val="0"/>
                <w:color w:val="000000"/>
                <w:sz w:val="20"/>
                <w:szCs w:val="20"/>
                <w:highlight w:val="none"/>
                <w:u w:val="none"/>
              </w:rPr>
            </w:pPr>
          </w:p>
        </w:tc>
      </w:tr>
      <w:tr w14:paraId="22A23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16877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2060502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D2765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技术创新服务体系</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A6BF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A27DE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61D5C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6593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743A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B5178D">
            <w:pPr>
              <w:jc w:val="right"/>
              <w:rPr>
                <w:rFonts w:hint="default" w:ascii="Times New Roman" w:hAnsi="Times New Roman" w:eastAsia="宋体" w:cs="Times New Roman"/>
                <w:i w:val="0"/>
                <w:iCs w:val="0"/>
                <w:color w:val="000000"/>
                <w:sz w:val="20"/>
                <w:szCs w:val="20"/>
                <w:highlight w:val="none"/>
                <w:u w:val="none"/>
              </w:rPr>
            </w:pPr>
          </w:p>
        </w:tc>
      </w:tr>
      <w:tr w14:paraId="20754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C7F5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028BE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ED0C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2,113.43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73FBE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2,113.43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0177D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DB14D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560F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1E82AC">
            <w:pPr>
              <w:jc w:val="right"/>
              <w:rPr>
                <w:rFonts w:hint="default" w:ascii="Times New Roman" w:hAnsi="Times New Roman" w:eastAsia="宋体" w:cs="Times New Roman"/>
                <w:i w:val="0"/>
                <w:iCs w:val="0"/>
                <w:color w:val="000000"/>
                <w:sz w:val="20"/>
                <w:szCs w:val="20"/>
                <w:highlight w:val="none"/>
                <w:u w:val="none"/>
              </w:rPr>
            </w:pPr>
          </w:p>
        </w:tc>
      </w:tr>
      <w:tr w14:paraId="5AA4B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6D54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4763D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4034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2,113.43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9A38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2,113.43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AAF9D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846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6D1BB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F46CEC">
            <w:pPr>
              <w:jc w:val="right"/>
              <w:rPr>
                <w:rFonts w:hint="default" w:ascii="Times New Roman" w:hAnsi="Times New Roman" w:eastAsia="宋体" w:cs="Times New Roman"/>
                <w:i w:val="0"/>
                <w:iCs w:val="0"/>
                <w:color w:val="000000"/>
                <w:sz w:val="20"/>
                <w:szCs w:val="20"/>
                <w:highlight w:val="none"/>
                <w:u w:val="none"/>
              </w:rPr>
            </w:pPr>
          </w:p>
        </w:tc>
      </w:tr>
      <w:tr w14:paraId="0AC54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20080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0EA3C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195D7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1,942.02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5132F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1,942.02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714B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22A1C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E6798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CB84E5">
            <w:pPr>
              <w:jc w:val="right"/>
              <w:rPr>
                <w:rFonts w:hint="default" w:ascii="Times New Roman" w:hAnsi="Times New Roman" w:eastAsia="宋体" w:cs="Times New Roman"/>
                <w:i w:val="0"/>
                <w:iCs w:val="0"/>
                <w:color w:val="000000"/>
                <w:sz w:val="20"/>
                <w:szCs w:val="20"/>
                <w:highlight w:val="none"/>
                <w:u w:val="none"/>
              </w:rPr>
            </w:pPr>
          </w:p>
        </w:tc>
      </w:tr>
      <w:tr w14:paraId="76106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589B4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3E1C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2C74D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171.41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C447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171.41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CA2F43">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4D15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8590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227830">
            <w:pPr>
              <w:jc w:val="right"/>
              <w:rPr>
                <w:rFonts w:hint="default" w:ascii="Times New Roman" w:hAnsi="Times New Roman" w:eastAsia="宋体" w:cs="Times New Roman"/>
                <w:i w:val="0"/>
                <w:iCs w:val="0"/>
                <w:color w:val="000000"/>
                <w:sz w:val="20"/>
                <w:szCs w:val="20"/>
                <w:highlight w:val="none"/>
                <w:u w:val="none"/>
              </w:rPr>
            </w:pPr>
          </w:p>
        </w:tc>
      </w:tr>
      <w:tr w14:paraId="53FDC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44F9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F6D13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5F4A0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820.95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E0EAB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820.95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081E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89024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7992C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016E9F">
            <w:pPr>
              <w:jc w:val="right"/>
              <w:rPr>
                <w:rFonts w:hint="default" w:ascii="Times New Roman" w:hAnsi="Times New Roman" w:eastAsia="宋体" w:cs="Times New Roman"/>
                <w:i w:val="0"/>
                <w:iCs w:val="0"/>
                <w:color w:val="000000"/>
                <w:sz w:val="20"/>
                <w:szCs w:val="20"/>
                <w:highlight w:val="none"/>
                <w:u w:val="none"/>
              </w:rPr>
            </w:pPr>
          </w:p>
        </w:tc>
      </w:tr>
      <w:tr w14:paraId="67A56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0A743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EBE6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6854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820.95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D89D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820.95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4C2BE3">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CDF27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91D89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61446">
            <w:pPr>
              <w:jc w:val="right"/>
              <w:rPr>
                <w:rFonts w:hint="default" w:ascii="Times New Roman" w:hAnsi="Times New Roman" w:eastAsia="宋体" w:cs="Times New Roman"/>
                <w:i w:val="0"/>
                <w:iCs w:val="0"/>
                <w:color w:val="000000"/>
                <w:sz w:val="20"/>
                <w:szCs w:val="20"/>
                <w:highlight w:val="none"/>
                <w:u w:val="none"/>
              </w:rPr>
            </w:pPr>
          </w:p>
        </w:tc>
      </w:tr>
      <w:tr w14:paraId="5E793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41F54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D7CC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FE17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308.64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BCA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308.64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2416F">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AB9E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9D87A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75F534">
            <w:pPr>
              <w:jc w:val="right"/>
              <w:rPr>
                <w:rFonts w:hint="default" w:ascii="Times New Roman" w:hAnsi="Times New Roman" w:eastAsia="宋体" w:cs="Times New Roman"/>
                <w:i w:val="0"/>
                <w:iCs w:val="0"/>
                <w:color w:val="000000"/>
                <w:sz w:val="20"/>
                <w:szCs w:val="20"/>
                <w:highlight w:val="none"/>
                <w:u w:val="none"/>
              </w:rPr>
            </w:pPr>
          </w:p>
        </w:tc>
      </w:tr>
      <w:tr w14:paraId="310F8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472AF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A228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190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512.31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BDD0F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512.31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281D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62C46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0979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AA045">
            <w:pPr>
              <w:jc w:val="right"/>
              <w:rPr>
                <w:rFonts w:hint="default" w:ascii="Times New Roman" w:hAnsi="Times New Roman" w:eastAsia="宋体" w:cs="Times New Roman"/>
                <w:i w:val="0"/>
                <w:iCs w:val="0"/>
                <w:color w:val="000000"/>
                <w:sz w:val="20"/>
                <w:szCs w:val="20"/>
                <w:highlight w:val="none"/>
                <w:u w:val="none"/>
              </w:rPr>
            </w:pPr>
          </w:p>
        </w:tc>
      </w:tr>
      <w:tr w14:paraId="28387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32B71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A3CC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C57F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639.83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3250F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639.83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ED3BF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AEE63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72954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FF223">
            <w:pPr>
              <w:jc w:val="right"/>
              <w:rPr>
                <w:rFonts w:hint="default" w:ascii="Times New Roman" w:hAnsi="Times New Roman" w:eastAsia="宋体" w:cs="Times New Roman"/>
                <w:i w:val="0"/>
                <w:iCs w:val="0"/>
                <w:color w:val="000000"/>
                <w:sz w:val="20"/>
                <w:szCs w:val="20"/>
                <w:highlight w:val="none"/>
                <w:u w:val="none"/>
              </w:rPr>
            </w:pPr>
          </w:p>
        </w:tc>
      </w:tr>
      <w:tr w14:paraId="5F94F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8B6B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0664F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547FE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639.83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C16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639.83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9447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37375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DFF6B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D989B7">
            <w:pPr>
              <w:jc w:val="right"/>
              <w:rPr>
                <w:rFonts w:hint="default" w:ascii="Times New Roman" w:hAnsi="Times New Roman" w:eastAsia="宋体" w:cs="Times New Roman"/>
                <w:i w:val="0"/>
                <w:iCs w:val="0"/>
                <w:color w:val="000000"/>
                <w:sz w:val="20"/>
                <w:szCs w:val="20"/>
                <w:highlight w:val="none"/>
                <w:u w:val="none"/>
              </w:rPr>
            </w:pPr>
          </w:p>
        </w:tc>
      </w:tr>
      <w:tr w14:paraId="206B6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76E6B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A7D90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594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639.83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7AFDD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639.83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E6FB8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CB780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7331F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C8051">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部门（单位）：邯郸科技职业学院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14,289.16</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10,712.06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10,712.06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2,113.43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2,113.43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820.95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820.95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639.83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639.83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14,289.16</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14,289.16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14,289.16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14,289.16</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14,289.16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14,289.16</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25"/>
        <w:gridCol w:w="3016"/>
        <w:gridCol w:w="414"/>
        <w:gridCol w:w="1009"/>
        <w:gridCol w:w="1069"/>
        <w:gridCol w:w="379"/>
        <w:gridCol w:w="1788"/>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部门（单位）：邯郸科技职业学院</w:t>
            </w:r>
          </w:p>
        </w:tc>
        <w:tc>
          <w:tcPr>
            <w:tcW w:w="1541"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14,289.16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12,747.00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1,542.16</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教育支出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10,712.06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9,172.79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1,539.27</w:t>
            </w:r>
          </w:p>
        </w:tc>
      </w:tr>
      <w:tr w14:paraId="740D4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EC323A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06557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职业教育</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7B728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10,712.06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16D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9,172.79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828D62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1,539.27</w:t>
            </w:r>
          </w:p>
        </w:tc>
      </w:tr>
      <w:tr w14:paraId="31685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DBEB03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2050302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058DA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中等职业教育</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B3057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37.22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A1B26C">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947E93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37.22</w:t>
            </w:r>
          </w:p>
        </w:tc>
      </w:tr>
      <w:tr w14:paraId="00AE2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9ACEBE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2050305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D0532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高等职业教育</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3306B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10,674.84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1BE16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9,172.79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F6879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1,502.05</w:t>
            </w:r>
          </w:p>
        </w:tc>
      </w:tr>
      <w:tr w14:paraId="63BCE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794A97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262C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D69E6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EA60B2">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BA43CF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2.89</w:t>
            </w:r>
          </w:p>
        </w:tc>
      </w:tr>
      <w:tr w14:paraId="2A99E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B54791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04DD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科技条件与服务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01CD4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74283">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D384DE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2.89</w:t>
            </w:r>
          </w:p>
        </w:tc>
      </w:tr>
      <w:tr w14:paraId="62C16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D992C3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2060502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E1CD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技术创新服务体系</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C0F91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6D069E">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D803C3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2.89</w:t>
            </w:r>
          </w:p>
        </w:tc>
      </w:tr>
      <w:tr w14:paraId="1969B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1DF41F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20629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AA60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2,113.43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4F41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2,113.43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CEA94A5">
            <w:pPr>
              <w:jc w:val="right"/>
              <w:rPr>
                <w:rFonts w:hint="default" w:ascii="Times New Roman" w:hAnsi="Times New Roman" w:eastAsia="宋体" w:cs="Times New Roman"/>
                <w:i w:val="0"/>
                <w:iCs w:val="0"/>
                <w:color w:val="000000"/>
                <w:sz w:val="20"/>
                <w:szCs w:val="20"/>
                <w:highlight w:val="none"/>
                <w:u w:val="none"/>
              </w:rPr>
            </w:pPr>
          </w:p>
        </w:tc>
      </w:tr>
      <w:tr w14:paraId="3B4A0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ED96AF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2BB10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3E25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2,113.43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E7A5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2,113.43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D05A1A0">
            <w:pPr>
              <w:jc w:val="right"/>
              <w:rPr>
                <w:rFonts w:hint="default" w:ascii="Times New Roman" w:hAnsi="Times New Roman" w:eastAsia="宋体" w:cs="Times New Roman"/>
                <w:i w:val="0"/>
                <w:iCs w:val="0"/>
                <w:color w:val="000000"/>
                <w:sz w:val="20"/>
                <w:szCs w:val="20"/>
                <w:highlight w:val="none"/>
                <w:u w:val="none"/>
              </w:rPr>
            </w:pPr>
          </w:p>
        </w:tc>
      </w:tr>
      <w:tr w14:paraId="761F7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D118FF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DB5D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67E6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1,942.02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F5463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1,942.02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AB71A02">
            <w:pPr>
              <w:jc w:val="right"/>
              <w:rPr>
                <w:rFonts w:hint="default" w:ascii="Times New Roman" w:hAnsi="Times New Roman" w:eastAsia="宋体" w:cs="Times New Roman"/>
                <w:i w:val="0"/>
                <w:iCs w:val="0"/>
                <w:color w:val="000000"/>
                <w:sz w:val="20"/>
                <w:szCs w:val="20"/>
                <w:highlight w:val="none"/>
                <w:u w:val="none"/>
              </w:rPr>
            </w:pPr>
          </w:p>
        </w:tc>
      </w:tr>
      <w:tr w14:paraId="01576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D672D9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11ED8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F2BE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171.41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0D4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171.41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87B2C82">
            <w:pPr>
              <w:jc w:val="right"/>
              <w:rPr>
                <w:rFonts w:hint="default" w:ascii="Times New Roman" w:hAnsi="Times New Roman" w:eastAsia="宋体" w:cs="Times New Roman"/>
                <w:i w:val="0"/>
                <w:iCs w:val="0"/>
                <w:color w:val="000000"/>
                <w:sz w:val="20"/>
                <w:szCs w:val="20"/>
                <w:highlight w:val="none"/>
                <w:u w:val="none"/>
              </w:rPr>
            </w:pPr>
          </w:p>
        </w:tc>
      </w:tr>
      <w:tr w14:paraId="77DD5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5103F0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EEA5F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FB9F4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820.95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3E04A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820.95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6AA0D6E">
            <w:pPr>
              <w:jc w:val="right"/>
              <w:rPr>
                <w:rFonts w:hint="default" w:ascii="Times New Roman" w:hAnsi="Times New Roman" w:eastAsia="宋体" w:cs="Times New Roman"/>
                <w:i w:val="0"/>
                <w:iCs w:val="0"/>
                <w:color w:val="000000"/>
                <w:sz w:val="20"/>
                <w:szCs w:val="20"/>
                <w:highlight w:val="none"/>
                <w:u w:val="none"/>
              </w:rPr>
            </w:pPr>
          </w:p>
        </w:tc>
      </w:tr>
      <w:tr w14:paraId="171E1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85CFFF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7553F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CD600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820.95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6239F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820.95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6FA572">
            <w:pPr>
              <w:jc w:val="right"/>
              <w:rPr>
                <w:rFonts w:hint="default" w:ascii="Times New Roman" w:hAnsi="Times New Roman" w:eastAsia="宋体" w:cs="Times New Roman"/>
                <w:i w:val="0"/>
                <w:iCs w:val="0"/>
                <w:color w:val="000000"/>
                <w:sz w:val="20"/>
                <w:szCs w:val="20"/>
                <w:highlight w:val="none"/>
                <w:u w:val="none"/>
              </w:rPr>
            </w:pPr>
          </w:p>
        </w:tc>
      </w:tr>
      <w:tr w14:paraId="6BA9B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B04E69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BC05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3550B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308.64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3E6A7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308.64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8C21522">
            <w:pPr>
              <w:jc w:val="right"/>
              <w:rPr>
                <w:rFonts w:hint="default" w:ascii="Times New Roman" w:hAnsi="Times New Roman" w:eastAsia="宋体" w:cs="Times New Roman"/>
                <w:i w:val="0"/>
                <w:iCs w:val="0"/>
                <w:color w:val="000000"/>
                <w:sz w:val="20"/>
                <w:szCs w:val="20"/>
                <w:highlight w:val="none"/>
                <w:u w:val="none"/>
              </w:rPr>
            </w:pPr>
          </w:p>
        </w:tc>
      </w:tr>
      <w:tr w14:paraId="0533A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996506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0EE21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AD21E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512.31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BFB1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512.31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2861CFA">
            <w:pPr>
              <w:jc w:val="right"/>
              <w:rPr>
                <w:rFonts w:hint="default" w:ascii="Times New Roman" w:hAnsi="Times New Roman" w:eastAsia="宋体" w:cs="Times New Roman"/>
                <w:i w:val="0"/>
                <w:iCs w:val="0"/>
                <w:color w:val="000000"/>
                <w:sz w:val="20"/>
                <w:szCs w:val="20"/>
                <w:highlight w:val="none"/>
                <w:u w:val="none"/>
              </w:rPr>
            </w:pPr>
          </w:p>
        </w:tc>
      </w:tr>
      <w:tr w14:paraId="34F81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4DC457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E1F2C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A0687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639.83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DCC4B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639.83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2125ECE">
            <w:pPr>
              <w:jc w:val="right"/>
              <w:rPr>
                <w:rFonts w:hint="default" w:ascii="Times New Roman" w:hAnsi="Times New Roman" w:eastAsia="宋体" w:cs="Times New Roman"/>
                <w:i w:val="0"/>
                <w:iCs w:val="0"/>
                <w:color w:val="000000"/>
                <w:sz w:val="20"/>
                <w:szCs w:val="20"/>
                <w:highlight w:val="none"/>
                <w:u w:val="none"/>
              </w:rPr>
            </w:pPr>
          </w:p>
        </w:tc>
      </w:tr>
      <w:tr w14:paraId="199D2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391B0A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4E284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389A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639.83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F1685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639.83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F9D61BC">
            <w:pPr>
              <w:jc w:val="right"/>
              <w:rPr>
                <w:rFonts w:hint="default" w:ascii="Times New Roman" w:hAnsi="Times New Roman" w:eastAsia="宋体" w:cs="Times New Roman"/>
                <w:i w:val="0"/>
                <w:iCs w:val="0"/>
                <w:color w:val="000000"/>
                <w:sz w:val="20"/>
                <w:szCs w:val="20"/>
                <w:highlight w:val="none"/>
                <w:u w:val="none"/>
              </w:rPr>
            </w:pPr>
          </w:p>
        </w:tc>
      </w:tr>
      <w:tr w14:paraId="17312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EC8AD0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B62B5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001A1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639.83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B83F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639.83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6F9AC3D">
            <w:pPr>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部门（单位）：邯郸科技职业学院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10,200.23</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514.41</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3,824.38</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18.11</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354.04</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4.32</w:t>
            </w: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1,313.42</w:t>
            </w: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18.94</w:t>
            </w: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24.39</w:t>
            </w: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1,854.10</w:t>
            </w: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98.57</w:t>
            </w: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18.94</w:t>
            </w: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796.99</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4.65</w:t>
            </w: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175.49</w:t>
            </w: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659.13</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12.78</w:t>
            </w: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173.30</w:t>
            </w: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135.33</w:t>
            </w: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281.23</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768.13</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3.33</w:t>
            </w: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2,013.42</w:t>
            </w: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50.68</w:t>
            </w: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1,893.23</w:t>
            </w: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38.23</w:t>
            </w: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17.36</w:t>
            </w: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76.85</w:t>
            </w: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35.02</w:t>
            </w: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5.40</w:t>
            </w: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5.41</w:t>
            </w: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6.09</w:t>
            </w: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8.53</w:t>
            </w: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89.57</w:t>
            </w: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12,213.65</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533.35</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部门（单位）：邯郸科技职业学院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部门（单位）：邯郸科技职业学院</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部门（单位）：邯郸科技职业学院</w:t>
            </w:r>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13.17</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6.15</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6.15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7.02</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5.41</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5.41</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5.41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6FB8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34D883A9">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7C6C63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8D66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29A8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DB96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4B3F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482EAC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EECD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D743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CAA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2BF7AD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07B2A853">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30A8678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本单位2025年度收、支总计（含结转和结余）均为19,190.80万元。与2024年度决算相比，收支各减少2,774.64万元，下降12.6%，主要原因是</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职教城租赁费比上年度减少</w:t>
      </w:r>
      <w:r>
        <w:rPr>
          <w:rFonts w:ascii="Times New Roman" w:eastAsia="仿宋_GB2312"/>
          <w:b w:val="0"/>
          <w:sz w:val="32"/>
          <w:szCs w:val="32"/>
        </w:rPr>
        <w:t>。</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5C8502C0">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3A5A7C8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19,190.80万元，其中：财政拨款收入14,289.16万元，占74.5%；上级补助收入0.00万元，占0.0%；事业收入4,901.65万元，占25.5%；经营收入0.00万元，占0.0%；附属单位上缴收入0.00万元，占0.0%；其他收入0.00万元，占0.0%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3E18410F">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6BA1AB8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本单位2025年度本年支出合计19,190.80万元，其中：基本支出12,747.00万元，占66.4%；项目支出6,443.80万元，占33.6%；经营支出0.00万元，占0.0%；上缴上级支出0.00万元，占0.0%；对附属单位补助支出0.00万元，占0.0%。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6BE1F83">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45624391">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2F7E80A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本单位2025年度财政拨款收、支总计（含结转和结余）均为14,289.16万元。与2024年度相比，财政拨款收支各减少5,289.11万元，降低27.0%，主要原因是</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职教城租赁费比上年度减少</w:t>
      </w:r>
      <w:r>
        <w:rPr>
          <w:rFonts w:ascii="Times New Roman" w:eastAsia="仿宋_GB2312"/>
          <w:b w:val="0"/>
          <w:sz w:val="32"/>
          <w:szCs w:val="32"/>
        </w:rPr>
        <w:t>。</w:t>
      </w:r>
    </w:p>
    <w:p w14:paraId="76C6B45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本单位2025年度财政拨款本年收入14,289.16万元,比上年减少5,260.43万元，降低26.9%，主要原因是；本年支出14,289.16万元，比上年减少5,289.11万元，降低27.0%，主要原因是</w:t>
      </w:r>
      <w:r>
        <w:rPr>
          <w:rFonts w:hint="eastAsia" w:ascii="Times New Roman" w:eastAsia="仿宋_GB2312"/>
          <w:b w:val="0"/>
          <w:sz w:val="32"/>
          <w:szCs w:val="32"/>
          <w:lang w:val="en-US" w:eastAsia="zh-CN"/>
        </w:rPr>
        <w:t>职教城租赁费比上年度减少</w:t>
      </w:r>
      <w:r>
        <w:rPr>
          <w:rFonts w:ascii="Times New Roman" w:eastAsia="仿宋_GB2312"/>
          <w:b w:val="0"/>
          <w:sz w:val="32"/>
          <w:szCs w:val="32"/>
        </w:rPr>
        <w:t>。具体情况如下：</w:t>
      </w:r>
    </w:p>
    <w:p w14:paraId="6B9B7D8A">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一般公共预算财政拨款本年收入14,289.16万元,比上年减少5,260.43万元，降低26.9%，主要原因是</w:t>
      </w:r>
      <w:r>
        <w:rPr>
          <w:rFonts w:hint="eastAsia" w:ascii="Times New Roman" w:eastAsia="仿宋_GB2312"/>
          <w:b w:val="0"/>
          <w:sz w:val="32"/>
          <w:szCs w:val="32"/>
          <w:lang w:val="en-US" w:eastAsia="zh-CN"/>
        </w:rPr>
        <w:t>职教城租赁费比上年度拨款减少</w:t>
      </w:r>
      <w:r>
        <w:rPr>
          <w:rFonts w:ascii="Times New Roman" w:eastAsia="仿宋_GB2312"/>
          <w:b w:val="0"/>
          <w:sz w:val="32"/>
          <w:szCs w:val="32"/>
        </w:rPr>
        <w:t>；本年支出14,289.16万元，比上年减少5,289.11万元，降低27.0%，主要原因是</w:t>
      </w:r>
      <w:r>
        <w:rPr>
          <w:rFonts w:hint="eastAsia" w:ascii="Times New Roman" w:eastAsia="仿宋_GB2312"/>
          <w:b w:val="0"/>
          <w:sz w:val="32"/>
          <w:szCs w:val="32"/>
          <w:lang w:val="en-US" w:eastAsia="zh-CN"/>
        </w:rPr>
        <w:t>职教城租赁费比上年度减少</w:t>
      </w:r>
      <w:r>
        <w:rPr>
          <w:rFonts w:ascii="Times New Roman" w:eastAsia="仿宋_GB2312"/>
          <w:b w:val="0"/>
          <w:sz w:val="32"/>
          <w:szCs w:val="32"/>
        </w:rPr>
        <w:t>。</w:t>
      </w:r>
    </w:p>
    <w:p w14:paraId="23052EA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政府性基金预算财政拨款本年收入0.00万元，比上年增加0.00万元，增长0.00%，主要原因是；本年支出0.00万元，比上年增加0.00万元，增长0.00%，主要原因是</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本单位没有此项收入</w:t>
      </w:r>
      <w:r>
        <w:rPr>
          <w:rFonts w:ascii="Times New Roman" w:eastAsia="仿宋_GB2312"/>
          <w:b w:val="0"/>
          <w:sz w:val="32"/>
          <w:szCs w:val="32"/>
        </w:rPr>
        <w:t>。</w:t>
      </w:r>
    </w:p>
    <w:p w14:paraId="3822AD4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国有资本经营预算财政拨款本年收入0.00万元，比上年增加0.00万元，增长0.00%，主要原因是；本年支出0.00万元，比上年增加0.00万元，增长0.00%，主要原因是</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本单位没有此项收入</w:t>
      </w:r>
      <w:r>
        <w:rPr>
          <w:rFonts w:ascii="Times New Roman" w:eastAsia="仿宋_GB2312"/>
          <w:b w:val="0"/>
          <w:sz w:val="32"/>
          <w:szCs w:val="32"/>
        </w:rPr>
        <w:t>。</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DF656B4">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6F4DC08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14,289.16万元，完成年初预算的71.7%，比年初预算减少5,640.20万元，决算数小于预算数主要原因是；本年支出14,289.16万元，完成年初预算的71.7%，比年初预算减少5,640.20万元，决算数小于预算数主要原因是</w:t>
      </w:r>
      <w:r>
        <w:rPr>
          <w:rFonts w:hint="eastAsia" w:ascii="Times New Roman" w:eastAsia="仿宋_GB2312"/>
          <w:b w:val="0"/>
          <w:sz w:val="32"/>
          <w:szCs w:val="32"/>
          <w:lang w:val="en-US" w:eastAsia="zh-CN"/>
        </w:rPr>
        <w:t>:职教城租赁费比上年度拨款减少</w:t>
      </w:r>
      <w:r>
        <w:rPr>
          <w:rFonts w:ascii="Times New Roman" w:eastAsia="仿宋_GB2312"/>
          <w:b w:val="0"/>
          <w:sz w:val="32"/>
          <w:szCs w:val="32"/>
        </w:rPr>
        <w:t>。具体情况如下：</w:t>
      </w:r>
    </w:p>
    <w:p w14:paraId="0A7E0C8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一般公共预算财政拨款本年收入完成年初预算的71.7%，比年初预算减少5,640.20万元，主要原因是</w:t>
      </w:r>
      <w:r>
        <w:rPr>
          <w:rFonts w:hint="eastAsia" w:ascii="Times New Roman" w:eastAsia="仿宋_GB2312"/>
          <w:b w:val="0"/>
          <w:sz w:val="32"/>
          <w:szCs w:val="32"/>
          <w:lang w:val="en-US" w:eastAsia="zh-CN"/>
        </w:rPr>
        <w:t>:职教城租赁费比上年度拨款减少</w:t>
      </w:r>
      <w:r>
        <w:rPr>
          <w:rFonts w:ascii="Times New Roman" w:eastAsia="仿宋_GB2312"/>
          <w:b w:val="0"/>
          <w:sz w:val="32"/>
          <w:szCs w:val="32"/>
        </w:rPr>
        <w:t>；支出完成年初预算的71.7%，比年初预算减少5,640.20万元，主要原因是</w:t>
      </w:r>
      <w:r>
        <w:rPr>
          <w:rFonts w:hint="eastAsia" w:ascii="Times New Roman" w:eastAsia="仿宋_GB2312"/>
          <w:b w:val="0"/>
          <w:sz w:val="32"/>
          <w:szCs w:val="32"/>
          <w:lang w:val="en-US" w:eastAsia="zh-CN"/>
        </w:rPr>
        <w:t>:职教城租赁费比上年度拨款减少</w:t>
      </w:r>
      <w:r>
        <w:rPr>
          <w:rFonts w:ascii="Times New Roman" w:eastAsia="仿宋_GB2312"/>
          <w:b w:val="0"/>
          <w:sz w:val="32"/>
          <w:szCs w:val="32"/>
        </w:rPr>
        <w:t>。</w:t>
      </w:r>
    </w:p>
    <w:p w14:paraId="210327D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政府性基金预算财政拨款本年收入完成年初预算的0.0%，比年初预算增加0.00万元，主要原因是；支出完成年初预算的0.0%，比年初预算增加0.00万元，主要原因是</w:t>
      </w:r>
      <w:r>
        <w:rPr>
          <w:rFonts w:hint="eastAsia" w:ascii="Times New Roman" w:eastAsia="仿宋_GB2312"/>
          <w:b w:val="0"/>
          <w:sz w:val="32"/>
          <w:szCs w:val="32"/>
          <w:lang w:val="en-US" w:eastAsia="zh-CN"/>
        </w:rPr>
        <w:t>:本单位没有此项收入</w:t>
      </w:r>
      <w:r>
        <w:rPr>
          <w:rFonts w:ascii="Times New Roman" w:eastAsia="仿宋_GB2312"/>
          <w:b w:val="0"/>
          <w:sz w:val="32"/>
          <w:szCs w:val="32"/>
        </w:rPr>
        <w:t>。</w:t>
      </w:r>
    </w:p>
    <w:p w14:paraId="2A657FE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国有资本经营预算财政拨款本年收入完成年初预算的0.0%，比年初预算增加0.00万元，主要原因是；支出完成年初预算的0.0%，比年初预算增加0.00万元，主要原因是</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本单位没有此项收入</w:t>
      </w:r>
      <w:r>
        <w:rPr>
          <w:rFonts w:ascii="Times New Roman" w:eastAsia="仿宋_GB2312"/>
          <w:b w:val="0"/>
          <w:sz w:val="32"/>
          <w:szCs w:val="32"/>
        </w:rPr>
        <w:t>。</w:t>
      </w: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A7D5E81">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175E76C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2025年度财政拨款支出14,289.16万元，主要用于以下方面：</w:t>
      </w:r>
    </w:p>
    <w:p w14:paraId="779F5BE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156F0DB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类）支出0.00万元，占0.0%，主要用于等支出；教育（类）支出10,712.06万元，占75.0%，主要用于等支出；科学技术（类）支出2.89万元，占0.0%，主要用于等支出；文化旅游体育与传媒（类）支出0.00万元，占0.0%，主要用于等支出；社会保障和就业 （类）支出2,113.43万元，占14.8%，主要用于等支出；卫生健康（类）支出820.95万元，占5.7%，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639.83万元，占4.5%，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15957FF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78AAD0C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0.00%，主要用于等支出。</w:t>
      </w:r>
    </w:p>
    <w:p w14:paraId="3E111EC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715C393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7E147EBE">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59FEF6E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2025年度财政拨款基本支出12,747.00万元，其中：</w:t>
      </w:r>
    </w:p>
    <w:p w14:paraId="115C9ED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12,213.65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569B1EB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533.35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433F2F58">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31BA0DFF">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6FA38F8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本单位2025年度“三公”经费财政拨款支出预算为13.17万元，支出决算为5.41万元，完成预算的41.1%，较预算减少7.76万元，降低58.9%，主要原因是；较2024年度决算增加0.71万元，增长15.1%，主要原因是</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因公车过户导致保险费用增加</w:t>
      </w:r>
      <w:r>
        <w:rPr>
          <w:rFonts w:ascii="Times New Roman" w:eastAsia="仿宋_GB2312"/>
          <w:b w:val="0"/>
          <w:sz w:val="32"/>
          <w:szCs w:val="32"/>
        </w:rPr>
        <w:t>。</w:t>
      </w:r>
    </w:p>
    <w:p w14:paraId="27240780">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01A2A9C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本单位2025年度因公出国（境）费支出预算为0.00万元,支出决算0.00万元。完成预算的0.0%。因公出国（境）费支出较预算增加0.00万元，增长0.0%,主要原因是</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本单位没有此项支出</w:t>
      </w:r>
      <w:r>
        <w:rPr>
          <w:rFonts w:ascii="Times New Roman" w:eastAsia="仿宋_GB2312"/>
          <w:b w:val="0"/>
          <w:sz w:val="32"/>
          <w:szCs w:val="32"/>
        </w:rPr>
        <w:t>；较上年增加0.00万元，增长0.00%,主要原因是</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没有此项支出</w:t>
      </w:r>
      <w:r>
        <w:rPr>
          <w:rFonts w:ascii="Times New Roman" w:eastAsia="仿宋_GB2312"/>
          <w:b w:val="0"/>
          <w:sz w:val="32"/>
          <w:szCs w:val="32"/>
        </w:rPr>
        <w:t>。因公出国（境）团组0个、共0人、参加其他单位组织的因公出国（境）团组个、共人/无本部门组织的出国（境）团组。</w:t>
      </w:r>
    </w:p>
    <w:p w14:paraId="789DA32F">
      <w:pPr>
        <w:widowControl/>
        <w:spacing w:before="0" w:beforeLines="0" w:beforeAutospacing="0" w:after="0" w:afterLines="0" w:afterAutospacing="0" w:line="360" w:lineRule="auto"/>
        <w:ind w:firstLine="643" w:firstLineChars="200"/>
        <w:jc w:val="left"/>
        <w:rPr>
          <w:rFonts w:hint="eastAsia" w:ascii="Times New Roman" w:eastAsia="仿宋_GB2312"/>
          <w:sz w:val="32"/>
          <w:szCs w:val="32"/>
          <w:lang w:eastAsia="zh-CN"/>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本单位2025年度公务用车购置及运行维护费预算为6.15万元，支出决算5.41万元，完成预算的88.0%,较预算减少0.74万元，降低12.0%,主要原因是；较上年增加0.71万元，增长15.1%,主要原因是</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因公车过户导致保险费用增加</w:t>
      </w:r>
      <w:r>
        <w:rPr>
          <w:rFonts w:ascii="Times New Roman" w:eastAsia="仿宋_GB2312"/>
          <w:b w:val="0"/>
          <w:sz w:val="32"/>
          <w:szCs w:val="32"/>
        </w:rPr>
        <w:t>。</w:t>
      </w:r>
    </w:p>
    <w:p w14:paraId="04DCF4E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本单位2025年度公务用车购置量0辆，发生“公务用车购置”经费支出0.00万元。公务用车购置费支出较预算增加0.00万元，增长0.0%,主要原因是；较上年增加0.00万元，增长0.00%,主要原因是</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没有此项支出</w:t>
      </w:r>
      <w:r>
        <w:rPr>
          <w:rFonts w:ascii="Times New Roman" w:eastAsia="仿宋_GB2312"/>
          <w:b w:val="0"/>
          <w:sz w:val="32"/>
          <w:szCs w:val="32"/>
        </w:rPr>
        <w:t>。</w:t>
      </w:r>
    </w:p>
    <w:p w14:paraId="74F3CEF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公务用车运行维护费支出5.41万元：</w:t>
      </w:r>
      <w:r>
        <w:rPr>
          <w:rFonts w:ascii="Times New Roman" w:eastAsia="仿宋_GB2312"/>
          <w:b w:val="0"/>
          <w:sz w:val="32"/>
          <w:szCs w:val="32"/>
        </w:rPr>
        <w:t>本单位2025年度单位公务用车保有量5辆，发生运行维护费支出5.41万元。公车运行维护费支出较预算减少0.74万元，降低12.0%,主要原因是</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压减支出，厉行节约</w:t>
      </w:r>
      <w:r>
        <w:rPr>
          <w:rFonts w:ascii="Times New Roman" w:eastAsia="仿宋_GB2312"/>
          <w:b w:val="0"/>
          <w:sz w:val="32"/>
          <w:szCs w:val="32"/>
        </w:rPr>
        <w:t>；较上年增加0.71万元，增长15.1%，主要原因是</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因公车过户导致保险费用增加</w:t>
      </w:r>
      <w:r>
        <w:rPr>
          <w:rFonts w:ascii="Times New Roman" w:eastAsia="仿宋_GB2312"/>
          <w:b w:val="0"/>
          <w:sz w:val="32"/>
          <w:szCs w:val="32"/>
        </w:rPr>
        <w:t>。</w:t>
      </w:r>
    </w:p>
    <w:p w14:paraId="2F0426A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本单位2025年度公务接待费支出预算为7.02万元，支出决算0.00万元，完成预算的0.0%。公务接待费支出较预算减少7.02万元，降低100.0%,主要原因是</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本单位本年度没有此项支出</w:t>
      </w:r>
      <w:r>
        <w:rPr>
          <w:rFonts w:ascii="Times New Roman" w:eastAsia="仿宋_GB2312"/>
          <w:b w:val="0"/>
          <w:sz w:val="32"/>
          <w:szCs w:val="32"/>
        </w:rPr>
        <w:t>；较上年度增加0.00万元，增长0.00%,主要原因是</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本单位本年度没有此项支出</w:t>
      </w:r>
      <w:r>
        <w:rPr>
          <w:rFonts w:ascii="Times New Roman" w:eastAsia="仿宋_GB2312"/>
          <w:b w:val="0"/>
          <w:sz w:val="32"/>
          <w:szCs w:val="32"/>
        </w:rPr>
        <w:t>。本年度共发生公务接待0批次、0人次。</w:t>
      </w:r>
    </w:p>
    <w:p w14:paraId="05ACFCB9">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6190A43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本单位2025年度机关运行经费支出0.00万元，较2024年度增加0.00万元，增长0.00%。主要原因是</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没有此项支出</w:t>
      </w:r>
      <w:r>
        <w:rPr>
          <w:rFonts w:ascii="Times New Roman" w:eastAsia="仿宋_GB2312"/>
          <w:b w:val="0"/>
          <w:sz w:val="32"/>
          <w:szCs w:val="32"/>
        </w:rPr>
        <w:t>。</w:t>
      </w:r>
    </w:p>
    <w:p w14:paraId="0F0D487C">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376D917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485.82万元，从采购类型来看，政府采购货物支出485.82万元、政府采购工程支出0.00万元、政府采购服务支出0.00万元。授予中小企业合同金额485.82万元，占政府采购支出总额的100.0%，其中授予小微企业合同金额485.82万元，占政府采购支出总额的100.0%。</w:t>
      </w:r>
    </w:p>
    <w:p w14:paraId="3B187F63">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340DC62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截至2025年12月31日，本单位共有车辆5辆，比上年增加0辆，主要是</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没有购置新车</w:t>
      </w:r>
      <w:r>
        <w:rPr>
          <w:rFonts w:ascii="Times New Roman" w:eastAsia="仿宋_GB2312"/>
          <w:b w:val="0"/>
          <w:sz w:val="32"/>
          <w:szCs w:val="32"/>
        </w:rPr>
        <w:t>。其中，副部（省）级及以上领导用车0辆，主要负责人用车0辆，机要通信用车0辆，应急保障用车0辆，执法执勤用车0辆，特种专业技术用车1辆，离退休干部用车0辆，其他用车4辆，其他用车主要是</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业务用车</w:t>
      </w:r>
      <w:r>
        <w:rPr>
          <w:rFonts w:ascii="Times New Roman" w:eastAsia="仿宋_GB2312"/>
          <w:b w:val="0"/>
          <w:sz w:val="32"/>
          <w:szCs w:val="32"/>
        </w:rPr>
        <w:t>。单位价值100万元（含）以上设备（不含车辆）0台（套）。</w:t>
      </w:r>
    </w:p>
    <w:p w14:paraId="6748D9D3">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5E6942B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0B30FD1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w:t>
      </w:r>
      <w:r>
        <w:rPr>
          <w:rFonts w:hint="eastAsia" w:ascii="Times New Roman" w:eastAsia="仿宋_GB2312"/>
          <w:b w:val="0"/>
          <w:sz w:val="32"/>
          <w:szCs w:val="32"/>
        </w:rPr>
        <w:t>6443.80</w:t>
      </w:r>
      <w:r>
        <w:rPr>
          <w:rFonts w:ascii="Times New Roman" w:eastAsia="仿宋_GB2312"/>
          <w:b w:val="0"/>
          <w:sz w:val="32"/>
          <w:szCs w:val="32"/>
        </w:rPr>
        <w:t>万元（决算金额）。其中，一般公共预算项目</w:t>
      </w:r>
      <w:r>
        <w:rPr>
          <w:rFonts w:hint="eastAsia" w:ascii="Times New Roman" w:eastAsia="仿宋_GB2312"/>
          <w:b w:val="0"/>
          <w:sz w:val="32"/>
          <w:szCs w:val="32"/>
          <w:lang w:val="en-US" w:eastAsia="zh-CN"/>
        </w:rPr>
        <w:t>16</w:t>
      </w:r>
      <w:r>
        <w:rPr>
          <w:rFonts w:ascii="Times New Roman" w:eastAsia="仿宋_GB2312"/>
          <w:b w:val="0"/>
          <w:sz w:val="32"/>
          <w:szCs w:val="32"/>
        </w:rPr>
        <w:t>个，涉及资金</w:t>
      </w:r>
      <w:r>
        <w:rPr>
          <w:rFonts w:hint="eastAsia" w:ascii="Times New Roman" w:eastAsia="仿宋_GB2312"/>
          <w:b w:val="0"/>
          <w:sz w:val="32"/>
          <w:szCs w:val="32"/>
        </w:rPr>
        <w:t>1542.1</w:t>
      </w:r>
      <w:r>
        <w:rPr>
          <w:rFonts w:hint="eastAsia" w:ascii="Times New Roman" w:eastAsia="仿宋_GB2312"/>
          <w:b w:val="0"/>
          <w:sz w:val="32"/>
          <w:szCs w:val="32"/>
          <w:lang w:val="en-US" w:eastAsia="zh-CN"/>
        </w:rPr>
        <w:t>6</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24</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%；国有资本经营预算项目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万元，占国有资本经营预算项目支出总额的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w:t>
      </w:r>
    </w:p>
    <w:p w14:paraId="75186710">
      <w:pPr>
        <w:widowControl/>
        <w:spacing w:line="360" w:lineRule="auto"/>
        <w:ind w:firstLine="640" w:firstLineChars="200"/>
        <w:jc w:val="left"/>
        <w:rPr>
          <w:rFonts w:ascii="Times New Roman" w:eastAsia="仿宋_GB2312"/>
          <w:b w:val="0"/>
          <w:sz w:val="32"/>
          <w:szCs w:val="32"/>
        </w:rPr>
      </w:pPr>
      <w:r>
        <w:rPr>
          <w:rFonts w:ascii="Times New Roman" w:eastAsia="仿宋_GB2312"/>
          <w:b w:val="0"/>
          <w:sz w:val="32"/>
          <w:szCs w:val="32"/>
        </w:rPr>
        <w:t>组织对</w:t>
      </w:r>
      <w:r>
        <w:rPr>
          <w:rFonts w:hint="eastAsia" w:ascii="Times New Roman" w:eastAsia="仿宋_GB2312"/>
          <w:b w:val="0"/>
          <w:sz w:val="32"/>
          <w:szCs w:val="32"/>
        </w:rPr>
        <w:t>ZK-（高校资助）提前2025年中央学生资助补助（冀财教[2024]125号）</w:t>
      </w:r>
      <w:r>
        <w:rPr>
          <w:rFonts w:hint="eastAsia" w:ascii="Times New Roman" w:eastAsia="仿宋_GB2312"/>
          <w:b w:val="0"/>
          <w:sz w:val="32"/>
          <w:szCs w:val="32"/>
          <w:lang w:eastAsia="zh-CN"/>
        </w:rPr>
        <w:t>、公用经费（取暖费）、邯郸科技职业学院设备和图书购置</w:t>
      </w:r>
      <w:r>
        <w:rPr>
          <w:rFonts w:ascii="Times New Roman" w:eastAsia="仿宋_GB2312"/>
          <w:b w:val="0"/>
          <w:sz w:val="32"/>
          <w:szCs w:val="32"/>
        </w:rPr>
        <w:t>等</w:t>
      </w:r>
      <w:r>
        <w:rPr>
          <w:rFonts w:hint="eastAsia" w:ascii="Times New Roman" w:eastAsia="仿宋_GB2312"/>
          <w:b w:val="0"/>
          <w:sz w:val="32"/>
          <w:szCs w:val="32"/>
          <w:lang w:val="en-US" w:eastAsia="zh-CN"/>
        </w:rPr>
        <w:t>3</w:t>
      </w:r>
      <w:r>
        <w:rPr>
          <w:rFonts w:ascii="Times New Roman" w:eastAsia="仿宋_GB2312"/>
          <w:b w:val="0"/>
          <w:sz w:val="32"/>
          <w:szCs w:val="32"/>
        </w:rPr>
        <w:t>个项目开展了部门重点评价，涉及一般公共预算支出</w:t>
      </w:r>
      <w:r>
        <w:rPr>
          <w:rFonts w:hint="eastAsia" w:ascii="Times New Roman" w:eastAsia="仿宋_GB2312"/>
          <w:b w:val="0"/>
          <w:sz w:val="32"/>
          <w:szCs w:val="32"/>
          <w:lang w:val="en-US" w:eastAsia="zh-CN"/>
        </w:rPr>
        <w:t>1018</w:t>
      </w:r>
      <w:r>
        <w:rPr>
          <w:rFonts w:ascii="Times New Roman" w:eastAsia="仿宋_GB2312"/>
          <w:b w:val="0"/>
          <w:sz w:val="32"/>
          <w:szCs w:val="32"/>
        </w:rPr>
        <w:t>万元，政府性基金预算支出</w:t>
      </w:r>
      <w:r>
        <w:rPr>
          <w:rFonts w:hint="eastAsia" w:ascii="Times New Roman" w:eastAsia="仿宋_GB2312"/>
          <w:b w:val="0"/>
          <w:sz w:val="32"/>
          <w:szCs w:val="32"/>
          <w:lang w:val="en-US" w:eastAsia="zh-CN"/>
        </w:rPr>
        <w:t>0</w:t>
      </w:r>
      <w:r>
        <w:rPr>
          <w:rFonts w:ascii="Times New Roman" w:eastAsia="仿宋_GB2312"/>
          <w:b w:val="0"/>
          <w:sz w:val="32"/>
          <w:szCs w:val="32"/>
        </w:rPr>
        <w:t>万元，国有资本经营预算支出</w:t>
      </w:r>
      <w:r>
        <w:rPr>
          <w:rFonts w:hint="eastAsia" w:ascii="Times New Roman" w:eastAsia="仿宋_GB2312"/>
          <w:b w:val="0"/>
          <w:sz w:val="32"/>
          <w:szCs w:val="32"/>
          <w:lang w:val="en-US" w:eastAsia="zh-CN"/>
        </w:rPr>
        <w:t>0</w:t>
      </w:r>
      <w:r>
        <w:rPr>
          <w:rFonts w:ascii="Times New Roman" w:eastAsia="仿宋_GB2312"/>
          <w:b w:val="0"/>
          <w:sz w:val="32"/>
          <w:szCs w:val="32"/>
        </w:rPr>
        <w:t>万元，从评价情况来看从评价情况来看，该3个项目资金到位情况均达到100%、资金执行情况达到100%</w:t>
      </w:r>
      <w:r>
        <w:rPr>
          <w:rFonts w:hint="eastAsia" w:ascii="Times New Roman" w:eastAsia="仿宋_GB2312"/>
          <w:b w:val="0"/>
          <w:sz w:val="32"/>
          <w:szCs w:val="32"/>
        </w:rPr>
        <w:t>。</w:t>
      </w:r>
      <w:r>
        <w:rPr>
          <w:rFonts w:ascii="Times New Roman" w:eastAsia="仿宋_GB2312"/>
          <w:b w:val="0"/>
          <w:sz w:val="32"/>
          <w:szCs w:val="32"/>
        </w:rPr>
        <w:t>按照“谁支出、谁自评”</w:t>
      </w:r>
      <w:r>
        <w:rPr>
          <w:rFonts w:hint="eastAsia" w:ascii="Times New Roman" w:eastAsia="仿宋_GB2312"/>
          <w:b w:val="0"/>
          <w:sz w:val="32"/>
          <w:szCs w:val="32"/>
        </w:rPr>
        <w:t>，各项</w:t>
      </w:r>
      <w:r>
        <w:rPr>
          <w:rFonts w:ascii="Times New Roman" w:eastAsia="仿宋_GB2312"/>
          <w:b w:val="0"/>
          <w:sz w:val="32"/>
          <w:szCs w:val="32"/>
        </w:rPr>
        <w:t>目由项目实施科室和财务部门相互配合，遵循科学公正、统筹兼顾、激励约束、公开透明的原则，对每个项目都科学规范、公正公开，从项目的产出指标和效果指标以及满意度三个方面，对每个项目进行了评价，预算和实际支出一致，按时完成预定目标。</w:t>
      </w:r>
    </w:p>
    <w:p w14:paraId="65A743F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5C059059">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本单位在今年部门决算公开中反映</w:t>
      </w:r>
      <w:r>
        <w:rPr>
          <w:rFonts w:hint="eastAsia" w:ascii="Times New Roman" w:eastAsia="仿宋_GB2312"/>
          <w:b w:val="0"/>
          <w:sz w:val="32"/>
          <w:szCs w:val="32"/>
        </w:rPr>
        <w:t>ZK-（高校资助）提前2025年中央学生资助补助（冀财教[2024]125号）</w:t>
      </w:r>
      <w:r>
        <w:rPr>
          <w:rFonts w:hint="eastAsia" w:ascii="Times New Roman" w:eastAsia="仿宋_GB2312"/>
          <w:b w:val="0"/>
          <w:sz w:val="32"/>
          <w:szCs w:val="32"/>
          <w:lang w:eastAsia="zh-CN"/>
        </w:rPr>
        <w:t>、公用经费（取暖费）、邯郸科技职业学院设备和图书购置</w:t>
      </w:r>
      <w:r>
        <w:rPr>
          <w:rFonts w:hint="eastAsia" w:ascii="Times New Roman" w:eastAsia="仿宋_GB2312"/>
          <w:b w:val="0"/>
          <w:sz w:val="32"/>
          <w:szCs w:val="32"/>
          <w:lang w:val="en-US" w:eastAsia="zh-CN"/>
        </w:rPr>
        <w:t>3</w:t>
      </w:r>
      <w:r>
        <w:rPr>
          <w:rFonts w:ascii="Times New Roman" w:eastAsia="仿宋_GB2312"/>
          <w:b w:val="0"/>
          <w:sz w:val="32"/>
          <w:szCs w:val="32"/>
        </w:rPr>
        <w:t>个项目绩效自评结果。</w:t>
      </w:r>
    </w:p>
    <w:p w14:paraId="7ABF8EAB">
      <w:pPr>
        <w:widowControl/>
        <w:numPr>
          <w:ilvl w:val="0"/>
          <w:numId w:val="2"/>
        </w:numPr>
        <w:spacing w:before="0" w:beforeLines="0" w:beforeAutospacing="0" w:after="0" w:afterLines="0" w:afterAutospacing="0" w:line="360" w:lineRule="auto"/>
        <w:ind w:firstLine="640" w:firstLineChars="200"/>
        <w:jc w:val="left"/>
        <w:rPr>
          <w:rFonts w:ascii="宋体" w:hAnsi="宋体" w:eastAsia="宋体" w:cs="宋体"/>
          <w:spacing w:val="8"/>
          <w:sz w:val="31"/>
          <w:szCs w:val="31"/>
        </w:rPr>
      </w:pPr>
      <w:r>
        <w:rPr>
          <w:rFonts w:hint="eastAsia" w:ascii="Times New Roman" w:eastAsia="仿宋_GB2312"/>
          <w:b w:val="0"/>
          <w:sz w:val="32"/>
          <w:szCs w:val="32"/>
        </w:rPr>
        <w:t>ZK-（高校资助）提前2025年中央学生资助补助（冀财教[2024]125号）</w:t>
      </w:r>
      <w:r>
        <w:rPr>
          <w:rFonts w:ascii="宋体" w:hAnsi="宋体" w:eastAsia="宋体" w:cs="宋体"/>
          <w:spacing w:val="3"/>
          <w:sz w:val="31"/>
          <w:szCs w:val="31"/>
        </w:rPr>
        <w:t>项目绩效自评情况：根据</w:t>
      </w:r>
      <w:r>
        <w:rPr>
          <w:rFonts w:ascii="宋体" w:hAnsi="宋体" w:eastAsia="宋体" w:cs="宋体"/>
          <w:spacing w:val="9"/>
          <w:sz w:val="31"/>
          <w:szCs w:val="31"/>
        </w:rPr>
        <w:t>年初设定的绩效目标，</w:t>
      </w:r>
      <w:r>
        <w:rPr>
          <w:rFonts w:hint="eastAsia" w:ascii="Times New Roman" w:eastAsia="仿宋_GB2312"/>
          <w:b w:val="0"/>
          <w:sz w:val="32"/>
          <w:szCs w:val="32"/>
        </w:rPr>
        <w:t>ZK-（高校资助）提前2025年中央学生资助补助（冀财教[2024]125号）</w:t>
      </w:r>
      <w:r>
        <w:rPr>
          <w:rFonts w:ascii="宋体" w:hAnsi="宋体" w:eastAsia="宋体" w:cs="宋体"/>
          <w:spacing w:val="8"/>
          <w:sz w:val="31"/>
          <w:szCs w:val="31"/>
        </w:rPr>
        <w:t>项目绩效</w:t>
      </w:r>
      <w:r>
        <w:rPr>
          <w:rFonts w:ascii="宋体" w:hAnsi="宋体" w:eastAsia="宋体" w:cs="宋体"/>
          <w:spacing w:val="5"/>
          <w:sz w:val="31"/>
          <w:szCs w:val="31"/>
        </w:rPr>
        <w:t>自评得分为</w:t>
      </w:r>
      <w:r>
        <w:rPr>
          <w:rFonts w:ascii="宋体" w:hAnsi="宋体" w:eastAsia="宋体" w:cs="宋体"/>
          <w:spacing w:val="-36"/>
          <w:sz w:val="31"/>
          <w:szCs w:val="31"/>
        </w:rPr>
        <w:t xml:space="preserve"> </w:t>
      </w:r>
      <w:r>
        <w:rPr>
          <w:rFonts w:ascii="Times New Roman" w:hAnsi="Times New Roman" w:eastAsia="Times New Roman" w:cs="Times New Roman"/>
          <w:spacing w:val="5"/>
          <w:sz w:val="31"/>
          <w:szCs w:val="31"/>
        </w:rPr>
        <w:t xml:space="preserve">100 </w:t>
      </w:r>
      <w:r>
        <w:rPr>
          <w:rFonts w:ascii="宋体" w:hAnsi="宋体" w:eastAsia="宋体" w:cs="宋体"/>
          <w:spacing w:val="5"/>
          <w:sz w:val="31"/>
          <w:szCs w:val="31"/>
        </w:rPr>
        <w:t>分（绩效自评表附后）。全年预算数为</w:t>
      </w:r>
      <w:r>
        <w:rPr>
          <w:rFonts w:ascii="宋体" w:hAnsi="宋体" w:eastAsia="宋体" w:cs="宋体"/>
          <w:spacing w:val="-33"/>
          <w:sz w:val="31"/>
          <w:szCs w:val="31"/>
        </w:rPr>
        <w:t xml:space="preserve"> </w:t>
      </w:r>
      <w:r>
        <w:rPr>
          <w:rFonts w:hint="eastAsia" w:ascii="Times New Roman" w:hAnsi="Times New Roman" w:eastAsia="宋体" w:cs="Times New Roman"/>
          <w:spacing w:val="5"/>
          <w:sz w:val="31"/>
          <w:szCs w:val="31"/>
          <w:lang w:val="en-US" w:eastAsia="zh-CN"/>
        </w:rPr>
        <w:t>618</w:t>
      </w:r>
      <w:r>
        <w:rPr>
          <w:rFonts w:ascii="Times New Roman" w:hAnsi="Times New Roman" w:eastAsia="Times New Roman" w:cs="Times New Roman"/>
          <w:spacing w:val="23"/>
          <w:sz w:val="31"/>
          <w:szCs w:val="31"/>
        </w:rPr>
        <w:t xml:space="preserve"> </w:t>
      </w:r>
      <w:r>
        <w:rPr>
          <w:rFonts w:ascii="宋体" w:hAnsi="宋体" w:eastAsia="宋体" w:cs="宋体"/>
          <w:spacing w:val="4"/>
          <w:sz w:val="31"/>
          <w:szCs w:val="31"/>
        </w:rPr>
        <w:t>万</w:t>
      </w:r>
      <w:r>
        <w:rPr>
          <w:rFonts w:ascii="宋体" w:hAnsi="宋体" w:eastAsia="宋体" w:cs="宋体"/>
          <w:sz w:val="31"/>
          <w:szCs w:val="31"/>
        </w:rPr>
        <w:t>元，执行数为</w:t>
      </w:r>
      <w:r>
        <w:rPr>
          <w:rFonts w:ascii="宋体" w:hAnsi="宋体" w:eastAsia="宋体" w:cs="宋体"/>
          <w:spacing w:val="-25"/>
          <w:sz w:val="31"/>
          <w:szCs w:val="31"/>
        </w:rPr>
        <w:t xml:space="preserve"> </w:t>
      </w:r>
      <w:r>
        <w:rPr>
          <w:rFonts w:hint="eastAsia" w:ascii="Times New Roman" w:hAnsi="Times New Roman" w:eastAsia="宋体" w:cs="Times New Roman"/>
          <w:sz w:val="31"/>
          <w:szCs w:val="31"/>
          <w:lang w:val="en-US" w:eastAsia="zh-CN"/>
        </w:rPr>
        <w:t>618</w:t>
      </w:r>
      <w:r>
        <w:rPr>
          <w:rFonts w:ascii="宋体" w:hAnsi="宋体" w:eastAsia="宋体" w:cs="宋体"/>
          <w:sz w:val="31"/>
          <w:szCs w:val="31"/>
        </w:rPr>
        <w:t>万元，完成预算的</w:t>
      </w:r>
      <w:r>
        <w:rPr>
          <w:rFonts w:ascii="宋体" w:hAnsi="宋体" w:eastAsia="宋体" w:cs="宋体"/>
          <w:spacing w:val="-36"/>
          <w:sz w:val="31"/>
          <w:szCs w:val="31"/>
        </w:rPr>
        <w:t xml:space="preserve"> </w:t>
      </w:r>
      <w:r>
        <w:rPr>
          <w:rFonts w:ascii="Times New Roman" w:hAnsi="Times New Roman" w:eastAsia="Times New Roman" w:cs="Times New Roman"/>
          <w:sz w:val="31"/>
          <w:szCs w:val="31"/>
        </w:rPr>
        <w:t>100%</w:t>
      </w:r>
      <w:r>
        <w:rPr>
          <w:rFonts w:ascii="宋体" w:hAnsi="宋体" w:eastAsia="宋体" w:cs="宋体"/>
          <w:sz w:val="31"/>
          <w:szCs w:val="31"/>
        </w:rPr>
        <w:t>。项目绩效目标完成</w:t>
      </w:r>
      <w:r>
        <w:rPr>
          <w:rFonts w:ascii="宋体" w:hAnsi="宋体" w:eastAsia="宋体" w:cs="宋体"/>
          <w:spacing w:val="9"/>
          <w:sz w:val="31"/>
          <w:szCs w:val="31"/>
        </w:rPr>
        <w:t>情况：一是每个应享受助学金资金的学生都得到资助。；二是已</w:t>
      </w:r>
      <w:r>
        <w:rPr>
          <w:rFonts w:ascii="仿宋" w:hAnsi="仿宋" w:eastAsia="仿宋" w:cs="仿宋"/>
          <w:sz w:val="31"/>
          <w:szCs w:val="31"/>
        </w:rPr>
        <w:t>经</w:t>
      </w:r>
      <w:r>
        <w:rPr>
          <w:rFonts w:ascii="宋体" w:hAnsi="宋体" w:eastAsia="宋体" w:cs="宋体"/>
          <w:sz w:val="31"/>
          <w:szCs w:val="31"/>
        </w:rPr>
        <w:t>完成高校助学金</w:t>
      </w:r>
      <w:r>
        <w:rPr>
          <w:rFonts w:hint="eastAsia" w:ascii="宋体" w:hAnsi="宋体" w:eastAsia="宋体" w:cs="宋体"/>
          <w:spacing w:val="-25"/>
          <w:sz w:val="31"/>
          <w:szCs w:val="31"/>
          <w:lang w:val="en-US" w:eastAsia="zh-CN"/>
        </w:rPr>
        <w:t>618</w:t>
      </w:r>
      <w:r>
        <w:rPr>
          <w:rFonts w:ascii="宋体" w:hAnsi="宋体" w:eastAsia="宋体" w:cs="宋体"/>
          <w:sz w:val="31"/>
          <w:szCs w:val="31"/>
        </w:rPr>
        <w:t>万元的支付。发现的主要问题及原因是</w:t>
      </w:r>
      <w:r>
        <w:rPr>
          <w:rFonts w:hint="eastAsia" w:ascii="宋体" w:hAnsi="宋体" w:eastAsia="宋体" w:cs="宋体"/>
          <w:sz w:val="31"/>
          <w:szCs w:val="31"/>
          <w:lang w:eastAsia="zh-CN"/>
        </w:rPr>
        <w:t>：</w:t>
      </w:r>
      <w:r>
        <w:rPr>
          <w:rFonts w:ascii="宋体" w:hAnsi="宋体" w:eastAsia="宋体" w:cs="宋体"/>
          <w:spacing w:val="8"/>
          <w:sz w:val="31"/>
          <w:szCs w:val="31"/>
        </w:rPr>
        <w:t>无。下一步改进措施：无。</w:t>
      </w:r>
    </w:p>
    <w:p w14:paraId="3C851DB3">
      <w:pPr>
        <w:widowControl/>
        <w:numPr>
          <w:ilvl w:val="0"/>
          <w:numId w:val="2"/>
        </w:numPr>
        <w:spacing w:before="0" w:beforeLines="0" w:beforeAutospacing="0" w:after="0" w:afterLines="0" w:afterAutospacing="0" w:line="360" w:lineRule="auto"/>
        <w:ind w:firstLine="640" w:firstLineChars="200"/>
        <w:jc w:val="left"/>
        <w:rPr>
          <w:rFonts w:ascii="宋体" w:hAnsi="宋体" w:eastAsia="宋体" w:cs="宋体"/>
          <w:spacing w:val="8"/>
          <w:sz w:val="31"/>
          <w:szCs w:val="31"/>
        </w:rPr>
      </w:pPr>
      <w:r>
        <w:rPr>
          <w:rFonts w:hint="eastAsia" w:ascii="Times New Roman" w:eastAsia="仿宋_GB2312"/>
          <w:b w:val="0"/>
          <w:sz w:val="32"/>
          <w:szCs w:val="32"/>
          <w:lang w:eastAsia="zh-CN"/>
        </w:rPr>
        <w:t>公用经费（取暖费）</w:t>
      </w:r>
      <w:r>
        <w:rPr>
          <w:rFonts w:ascii="宋体" w:hAnsi="宋体" w:eastAsia="宋体" w:cs="宋体"/>
          <w:spacing w:val="3"/>
          <w:sz w:val="31"/>
          <w:szCs w:val="31"/>
        </w:rPr>
        <w:t>项目绩效自评情况：根据</w:t>
      </w:r>
      <w:r>
        <w:rPr>
          <w:rFonts w:ascii="宋体" w:hAnsi="宋体" w:eastAsia="宋体" w:cs="宋体"/>
          <w:spacing w:val="9"/>
          <w:sz w:val="31"/>
          <w:szCs w:val="31"/>
        </w:rPr>
        <w:t>年初设定的绩效目标，</w:t>
      </w:r>
      <w:r>
        <w:rPr>
          <w:rFonts w:hint="eastAsia" w:ascii="Times New Roman" w:eastAsia="仿宋_GB2312"/>
          <w:b w:val="0"/>
          <w:sz w:val="32"/>
          <w:szCs w:val="32"/>
          <w:lang w:eastAsia="zh-CN"/>
        </w:rPr>
        <w:t>公用经费（取暖费）</w:t>
      </w:r>
      <w:r>
        <w:rPr>
          <w:rFonts w:ascii="宋体" w:hAnsi="宋体" w:eastAsia="宋体" w:cs="宋体"/>
          <w:spacing w:val="8"/>
          <w:sz w:val="31"/>
          <w:szCs w:val="31"/>
        </w:rPr>
        <w:t>项目绩效</w:t>
      </w:r>
      <w:r>
        <w:rPr>
          <w:rFonts w:ascii="宋体" w:hAnsi="宋体" w:eastAsia="宋体" w:cs="宋体"/>
          <w:spacing w:val="5"/>
          <w:sz w:val="31"/>
          <w:szCs w:val="31"/>
        </w:rPr>
        <w:t>自评得分为</w:t>
      </w:r>
      <w:r>
        <w:rPr>
          <w:rFonts w:ascii="宋体" w:hAnsi="宋体" w:eastAsia="宋体" w:cs="宋体"/>
          <w:spacing w:val="-36"/>
          <w:sz w:val="31"/>
          <w:szCs w:val="31"/>
        </w:rPr>
        <w:t xml:space="preserve"> </w:t>
      </w:r>
      <w:r>
        <w:rPr>
          <w:rFonts w:ascii="Times New Roman" w:hAnsi="Times New Roman" w:eastAsia="Times New Roman" w:cs="Times New Roman"/>
          <w:spacing w:val="5"/>
          <w:sz w:val="31"/>
          <w:szCs w:val="31"/>
        </w:rPr>
        <w:t xml:space="preserve">100 </w:t>
      </w:r>
      <w:r>
        <w:rPr>
          <w:rFonts w:ascii="宋体" w:hAnsi="宋体" w:eastAsia="宋体" w:cs="宋体"/>
          <w:spacing w:val="5"/>
          <w:sz w:val="31"/>
          <w:szCs w:val="31"/>
        </w:rPr>
        <w:t>分（绩效自评表附后）。全年预算数为</w:t>
      </w:r>
      <w:r>
        <w:rPr>
          <w:rFonts w:hint="eastAsia" w:ascii="宋体" w:hAnsi="宋体" w:eastAsia="宋体" w:cs="宋体"/>
          <w:spacing w:val="-33"/>
          <w:sz w:val="31"/>
          <w:szCs w:val="31"/>
          <w:lang w:val="en-US" w:eastAsia="zh-CN"/>
        </w:rPr>
        <w:t>200</w:t>
      </w:r>
      <w:r>
        <w:rPr>
          <w:rFonts w:ascii="Times New Roman" w:hAnsi="Times New Roman" w:eastAsia="Times New Roman" w:cs="Times New Roman"/>
          <w:spacing w:val="23"/>
          <w:sz w:val="31"/>
          <w:szCs w:val="31"/>
        </w:rPr>
        <w:t xml:space="preserve"> </w:t>
      </w:r>
      <w:r>
        <w:rPr>
          <w:rFonts w:ascii="宋体" w:hAnsi="宋体" w:eastAsia="宋体" w:cs="宋体"/>
          <w:spacing w:val="4"/>
          <w:sz w:val="31"/>
          <w:szCs w:val="31"/>
        </w:rPr>
        <w:t>万</w:t>
      </w:r>
      <w:r>
        <w:rPr>
          <w:rFonts w:ascii="宋体" w:hAnsi="宋体" w:eastAsia="宋体" w:cs="宋体"/>
          <w:sz w:val="31"/>
          <w:szCs w:val="31"/>
        </w:rPr>
        <w:t>元，执行数为</w:t>
      </w:r>
      <w:r>
        <w:rPr>
          <w:rFonts w:ascii="宋体" w:hAnsi="宋体" w:eastAsia="宋体" w:cs="宋体"/>
          <w:spacing w:val="-25"/>
          <w:sz w:val="31"/>
          <w:szCs w:val="31"/>
        </w:rPr>
        <w:t xml:space="preserve"> </w:t>
      </w:r>
      <w:r>
        <w:rPr>
          <w:rFonts w:hint="eastAsia" w:ascii="Times New Roman" w:hAnsi="Times New Roman" w:eastAsia="宋体" w:cs="Times New Roman"/>
          <w:sz w:val="31"/>
          <w:szCs w:val="31"/>
          <w:lang w:val="en-US" w:eastAsia="zh-CN"/>
        </w:rPr>
        <w:t>200</w:t>
      </w:r>
      <w:r>
        <w:rPr>
          <w:rFonts w:ascii="宋体" w:hAnsi="宋体" w:eastAsia="宋体" w:cs="宋体"/>
          <w:sz w:val="31"/>
          <w:szCs w:val="31"/>
        </w:rPr>
        <w:t>万元，完成预算的</w:t>
      </w:r>
      <w:r>
        <w:rPr>
          <w:rFonts w:ascii="宋体" w:hAnsi="宋体" w:eastAsia="宋体" w:cs="宋体"/>
          <w:spacing w:val="-36"/>
          <w:sz w:val="31"/>
          <w:szCs w:val="31"/>
        </w:rPr>
        <w:t xml:space="preserve"> </w:t>
      </w:r>
      <w:r>
        <w:rPr>
          <w:rFonts w:ascii="Times New Roman" w:hAnsi="Times New Roman" w:eastAsia="Times New Roman" w:cs="Times New Roman"/>
          <w:sz w:val="31"/>
          <w:szCs w:val="31"/>
        </w:rPr>
        <w:t>100%</w:t>
      </w:r>
      <w:r>
        <w:rPr>
          <w:rFonts w:ascii="宋体" w:hAnsi="宋体" w:eastAsia="宋体" w:cs="宋体"/>
          <w:sz w:val="31"/>
          <w:szCs w:val="31"/>
        </w:rPr>
        <w:t>。项目绩效目标完成</w:t>
      </w:r>
      <w:r>
        <w:rPr>
          <w:rFonts w:ascii="宋体" w:hAnsi="宋体" w:eastAsia="宋体" w:cs="宋体"/>
          <w:spacing w:val="9"/>
          <w:sz w:val="31"/>
          <w:szCs w:val="31"/>
        </w:rPr>
        <w:t>情况：一是</w:t>
      </w:r>
      <w:r>
        <w:rPr>
          <w:rFonts w:hint="eastAsia" w:ascii="宋体" w:hAnsi="宋体" w:eastAsia="宋体" w:cs="宋体"/>
          <w:spacing w:val="9"/>
          <w:sz w:val="31"/>
          <w:szCs w:val="31"/>
        </w:rPr>
        <w:t>已经保障师生冬季正常供暖</w:t>
      </w:r>
      <w:r>
        <w:rPr>
          <w:rFonts w:ascii="宋体" w:hAnsi="宋体" w:eastAsia="宋体" w:cs="宋体"/>
          <w:spacing w:val="9"/>
          <w:sz w:val="31"/>
          <w:szCs w:val="31"/>
        </w:rPr>
        <w:t>；二是</w:t>
      </w:r>
      <w:r>
        <w:rPr>
          <w:rFonts w:hint="eastAsia" w:ascii="宋体" w:hAnsi="宋体" w:eastAsia="宋体" w:cs="宋体"/>
          <w:sz w:val="31"/>
          <w:szCs w:val="31"/>
        </w:rPr>
        <w:t>维持了学院</w:t>
      </w:r>
      <w:r>
        <w:rPr>
          <w:rFonts w:hint="eastAsia" w:ascii="宋体" w:hAnsi="宋体" w:eastAsia="宋体" w:cs="宋体"/>
          <w:sz w:val="31"/>
          <w:szCs w:val="31"/>
          <w:lang w:val="en-US" w:eastAsia="zh-CN"/>
        </w:rPr>
        <w:t>教学</w:t>
      </w:r>
      <w:r>
        <w:rPr>
          <w:rFonts w:hint="eastAsia" w:ascii="宋体" w:hAnsi="宋体" w:eastAsia="宋体" w:cs="宋体"/>
          <w:sz w:val="31"/>
          <w:szCs w:val="31"/>
        </w:rPr>
        <w:t>正常</w:t>
      </w:r>
      <w:r>
        <w:rPr>
          <w:rFonts w:hint="eastAsia" w:ascii="宋体" w:hAnsi="宋体" w:eastAsia="宋体" w:cs="宋体"/>
          <w:sz w:val="31"/>
          <w:szCs w:val="31"/>
          <w:lang w:val="en-US" w:eastAsia="zh-CN"/>
        </w:rPr>
        <w:t>进行。</w:t>
      </w:r>
      <w:r>
        <w:rPr>
          <w:rFonts w:ascii="宋体" w:hAnsi="宋体" w:eastAsia="宋体" w:cs="宋体"/>
          <w:sz w:val="31"/>
          <w:szCs w:val="31"/>
        </w:rPr>
        <w:t>发现的主要问题及原因是</w:t>
      </w:r>
      <w:r>
        <w:rPr>
          <w:rFonts w:hint="eastAsia" w:ascii="宋体" w:hAnsi="宋体" w:eastAsia="宋体" w:cs="宋体"/>
          <w:sz w:val="31"/>
          <w:szCs w:val="31"/>
          <w:lang w:eastAsia="zh-CN"/>
        </w:rPr>
        <w:t>：</w:t>
      </w:r>
      <w:r>
        <w:rPr>
          <w:rFonts w:ascii="宋体" w:hAnsi="宋体" w:eastAsia="宋体" w:cs="宋体"/>
          <w:spacing w:val="8"/>
          <w:sz w:val="31"/>
          <w:szCs w:val="31"/>
        </w:rPr>
        <w:t>无。下一步改进措施：无。</w:t>
      </w:r>
    </w:p>
    <w:p w14:paraId="05303E9D">
      <w:pPr>
        <w:widowControl/>
        <w:numPr>
          <w:ilvl w:val="0"/>
          <w:numId w:val="2"/>
        </w:numPr>
        <w:spacing w:before="0" w:beforeLines="0" w:beforeAutospacing="0" w:after="0" w:afterLines="0" w:afterAutospacing="0" w:line="360" w:lineRule="auto"/>
        <w:ind w:firstLine="640" w:firstLineChars="200"/>
        <w:jc w:val="left"/>
        <w:rPr>
          <w:rFonts w:ascii="宋体" w:hAnsi="宋体" w:eastAsia="宋体" w:cs="宋体"/>
          <w:spacing w:val="8"/>
          <w:sz w:val="31"/>
          <w:szCs w:val="31"/>
        </w:rPr>
      </w:pPr>
      <w:r>
        <w:rPr>
          <w:rFonts w:hint="eastAsia" w:ascii="Times New Roman" w:eastAsia="仿宋_GB2312"/>
          <w:b w:val="0"/>
          <w:sz w:val="32"/>
          <w:szCs w:val="32"/>
          <w:lang w:eastAsia="zh-CN"/>
        </w:rPr>
        <w:t>邯郸科技职业学院设备和图书购置</w:t>
      </w:r>
      <w:r>
        <w:rPr>
          <w:rFonts w:ascii="宋体" w:hAnsi="宋体" w:eastAsia="宋体" w:cs="宋体"/>
          <w:spacing w:val="3"/>
          <w:sz w:val="31"/>
          <w:szCs w:val="31"/>
        </w:rPr>
        <w:t>项目绩效自评情况：根据</w:t>
      </w:r>
      <w:r>
        <w:rPr>
          <w:rFonts w:ascii="宋体" w:hAnsi="宋体" w:eastAsia="宋体" w:cs="宋体"/>
          <w:spacing w:val="9"/>
          <w:sz w:val="31"/>
          <w:szCs w:val="31"/>
        </w:rPr>
        <w:t>年初设定的绩效目标，</w:t>
      </w:r>
      <w:r>
        <w:rPr>
          <w:rFonts w:hint="eastAsia" w:ascii="Times New Roman" w:eastAsia="仿宋_GB2312"/>
          <w:b w:val="0"/>
          <w:sz w:val="32"/>
          <w:szCs w:val="32"/>
          <w:lang w:eastAsia="zh-CN"/>
        </w:rPr>
        <w:t>邯郸科技职业学院设备和图书购置</w:t>
      </w:r>
      <w:r>
        <w:rPr>
          <w:rFonts w:ascii="宋体" w:hAnsi="宋体" w:eastAsia="宋体" w:cs="宋体"/>
          <w:spacing w:val="8"/>
          <w:sz w:val="31"/>
          <w:szCs w:val="31"/>
        </w:rPr>
        <w:t>项目绩效</w:t>
      </w:r>
      <w:r>
        <w:rPr>
          <w:rFonts w:ascii="宋体" w:hAnsi="宋体" w:eastAsia="宋体" w:cs="宋体"/>
          <w:spacing w:val="5"/>
          <w:sz w:val="31"/>
          <w:szCs w:val="31"/>
        </w:rPr>
        <w:t>自评得分为</w:t>
      </w:r>
      <w:r>
        <w:rPr>
          <w:rFonts w:ascii="宋体" w:hAnsi="宋体" w:eastAsia="宋体" w:cs="宋体"/>
          <w:spacing w:val="-36"/>
          <w:sz w:val="31"/>
          <w:szCs w:val="31"/>
        </w:rPr>
        <w:t xml:space="preserve"> </w:t>
      </w:r>
      <w:r>
        <w:rPr>
          <w:rFonts w:ascii="Times New Roman" w:hAnsi="Times New Roman" w:eastAsia="Times New Roman" w:cs="Times New Roman"/>
          <w:spacing w:val="5"/>
          <w:sz w:val="31"/>
          <w:szCs w:val="31"/>
        </w:rPr>
        <w:t xml:space="preserve">100 </w:t>
      </w:r>
      <w:r>
        <w:rPr>
          <w:rFonts w:ascii="宋体" w:hAnsi="宋体" w:eastAsia="宋体" w:cs="宋体"/>
          <w:spacing w:val="5"/>
          <w:sz w:val="31"/>
          <w:szCs w:val="31"/>
        </w:rPr>
        <w:t>分（绩效自评表附后）。全年预算数为</w:t>
      </w:r>
      <w:r>
        <w:rPr>
          <w:rFonts w:ascii="宋体" w:hAnsi="宋体" w:eastAsia="宋体" w:cs="宋体"/>
          <w:spacing w:val="-33"/>
          <w:sz w:val="31"/>
          <w:szCs w:val="31"/>
        </w:rPr>
        <w:t xml:space="preserve"> </w:t>
      </w:r>
      <w:r>
        <w:rPr>
          <w:rFonts w:hint="eastAsia" w:ascii="Times New Roman" w:hAnsi="Times New Roman" w:eastAsia="宋体" w:cs="Times New Roman"/>
          <w:spacing w:val="5"/>
          <w:sz w:val="31"/>
          <w:szCs w:val="31"/>
          <w:lang w:val="en-US" w:eastAsia="zh-CN"/>
        </w:rPr>
        <w:t>200</w:t>
      </w:r>
      <w:r>
        <w:rPr>
          <w:rFonts w:ascii="Times New Roman" w:hAnsi="Times New Roman" w:eastAsia="Times New Roman" w:cs="Times New Roman"/>
          <w:spacing w:val="23"/>
          <w:sz w:val="31"/>
          <w:szCs w:val="31"/>
        </w:rPr>
        <w:t xml:space="preserve"> </w:t>
      </w:r>
      <w:r>
        <w:rPr>
          <w:rFonts w:ascii="宋体" w:hAnsi="宋体" w:eastAsia="宋体" w:cs="宋体"/>
          <w:spacing w:val="4"/>
          <w:sz w:val="31"/>
          <w:szCs w:val="31"/>
        </w:rPr>
        <w:t>万</w:t>
      </w:r>
      <w:r>
        <w:rPr>
          <w:rFonts w:ascii="宋体" w:hAnsi="宋体" w:eastAsia="宋体" w:cs="宋体"/>
          <w:sz w:val="31"/>
          <w:szCs w:val="31"/>
        </w:rPr>
        <w:t>元，执行数为</w:t>
      </w:r>
      <w:r>
        <w:rPr>
          <w:rFonts w:ascii="宋体" w:hAnsi="宋体" w:eastAsia="宋体" w:cs="宋体"/>
          <w:spacing w:val="-25"/>
          <w:sz w:val="31"/>
          <w:szCs w:val="31"/>
        </w:rPr>
        <w:t xml:space="preserve"> </w:t>
      </w:r>
      <w:r>
        <w:rPr>
          <w:rFonts w:hint="eastAsia" w:ascii="Times New Roman" w:hAnsi="Times New Roman" w:eastAsia="宋体" w:cs="Times New Roman"/>
          <w:sz w:val="31"/>
          <w:szCs w:val="31"/>
          <w:lang w:val="en-US" w:eastAsia="zh-CN"/>
        </w:rPr>
        <w:t>200</w:t>
      </w:r>
      <w:r>
        <w:rPr>
          <w:rFonts w:ascii="宋体" w:hAnsi="宋体" w:eastAsia="宋体" w:cs="宋体"/>
          <w:sz w:val="31"/>
          <w:szCs w:val="31"/>
        </w:rPr>
        <w:t>万元，完成预算的</w:t>
      </w:r>
      <w:r>
        <w:rPr>
          <w:rFonts w:ascii="宋体" w:hAnsi="宋体" w:eastAsia="宋体" w:cs="宋体"/>
          <w:spacing w:val="-36"/>
          <w:sz w:val="31"/>
          <w:szCs w:val="31"/>
        </w:rPr>
        <w:t xml:space="preserve"> </w:t>
      </w:r>
      <w:r>
        <w:rPr>
          <w:rFonts w:ascii="Times New Roman" w:hAnsi="Times New Roman" w:eastAsia="Times New Roman" w:cs="Times New Roman"/>
          <w:sz w:val="31"/>
          <w:szCs w:val="31"/>
        </w:rPr>
        <w:t>100%</w:t>
      </w:r>
      <w:r>
        <w:rPr>
          <w:rFonts w:ascii="宋体" w:hAnsi="宋体" w:eastAsia="宋体" w:cs="宋体"/>
          <w:sz w:val="31"/>
          <w:szCs w:val="31"/>
        </w:rPr>
        <w:t>。项目绩效目标完成</w:t>
      </w:r>
      <w:r>
        <w:rPr>
          <w:rFonts w:ascii="宋体" w:hAnsi="宋体" w:eastAsia="宋体" w:cs="宋体"/>
          <w:spacing w:val="9"/>
          <w:sz w:val="31"/>
          <w:szCs w:val="31"/>
        </w:rPr>
        <w:t>情况：一是</w:t>
      </w:r>
      <w:r>
        <w:rPr>
          <w:rFonts w:hint="eastAsia" w:ascii="宋体" w:hAnsi="宋体" w:eastAsia="宋体" w:cs="宋体"/>
          <w:spacing w:val="9"/>
          <w:sz w:val="31"/>
          <w:szCs w:val="31"/>
        </w:rPr>
        <w:t>完成建设专业实训室，满足8000名学生上课需求</w:t>
      </w:r>
      <w:r>
        <w:rPr>
          <w:rFonts w:ascii="宋体" w:hAnsi="宋体" w:eastAsia="宋体" w:cs="宋体"/>
          <w:spacing w:val="9"/>
          <w:sz w:val="31"/>
          <w:szCs w:val="31"/>
        </w:rPr>
        <w:t>；二是</w:t>
      </w:r>
      <w:r>
        <w:rPr>
          <w:rFonts w:hint="eastAsia" w:ascii="宋体" w:hAnsi="宋体" w:eastAsia="宋体" w:cs="宋体"/>
          <w:spacing w:val="9"/>
          <w:sz w:val="31"/>
          <w:szCs w:val="31"/>
        </w:rPr>
        <w:t>已经提升教学质量</w:t>
      </w:r>
      <w:r>
        <w:rPr>
          <w:rFonts w:hint="eastAsia" w:ascii="宋体" w:hAnsi="宋体" w:eastAsia="宋体" w:cs="宋体"/>
          <w:spacing w:val="9"/>
          <w:sz w:val="31"/>
          <w:szCs w:val="31"/>
          <w:lang w:eastAsia="zh-CN"/>
        </w:rPr>
        <w:t>。</w:t>
      </w:r>
      <w:r>
        <w:rPr>
          <w:rFonts w:ascii="宋体" w:hAnsi="宋体" w:eastAsia="宋体" w:cs="宋体"/>
          <w:sz w:val="31"/>
          <w:szCs w:val="31"/>
        </w:rPr>
        <w:t>发现的主要问题及原因是</w:t>
      </w:r>
      <w:r>
        <w:rPr>
          <w:rFonts w:hint="eastAsia" w:ascii="宋体" w:hAnsi="宋体" w:eastAsia="宋体" w:cs="宋体"/>
          <w:sz w:val="31"/>
          <w:szCs w:val="31"/>
          <w:lang w:eastAsia="zh-CN"/>
        </w:rPr>
        <w:t>：</w:t>
      </w:r>
      <w:r>
        <w:rPr>
          <w:rFonts w:ascii="宋体" w:hAnsi="宋体" w:eastAsia="宋体" w:cs="宋体"/>
          <w:spacing w:val="8"/>
          <w:sz w:val="31"/>
          <w:szCs w:val="31"/>
        </w:rPr>
        <w:t>无。下一步改进措施：无。</w:t>
      </w:r>
    </w:p>
    <w:p w14:paraId="59A3BF6E">
      <w:pPr>
        <w:widowControl/>
        <w:numPr>
          <w:ilvl w:val="0"/>
          <w:numId w:val="0"/>
        </w:numPr>
        <w:spacing w:before="0" w:beforeLines="0" w:beforeAutospacing="0" w:after="0" w:afterLines="0" w:afterAutospacing="0" w:line="360" w:lineRule="auto"/>
        <w:jc w:val="left"/>
        <w:rPr>
          <w:rFonts w:ascii="宋体" w:hAnsi="宋体" w:eastAsia="宋体" w:cs="宋体"/>
          <w:spacing w:val="8"/>
          <w:sz w:val="31"/>
          <w:szCs w:val="31"/>
        </w:rPr>
      </w:pPr>
      <w:r>
        <w:drawing>
          <wp:inline distT="0" distB="0" distL="114300" distR="114300">
            <wp:extent cx="5757545" cy="7038340"/>
            <wp:effectExtent l="0" t="0" r="14605" b="1016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9"/>
                    <a:stretch>
                      <a:fillRect/>
                    </a:stretch>
                  </pic:blipFill>
                  <pic:spPr>
                    <a:xfrm>
                      <a:off x="0" y="0"/>
                      <a:ext cx="5757545" cy="7038340"/>
                    </a:xfrm>
                    <a:prstGeom prst="rect">
                      <a:avLst/>
                    </a:prstGeom>
                    <a:noFill/>
                    <a:ln>
                      <a:noFill/>
                    </a:ln>
                  </pic:spPr>
                </pic:pic>
              </a:graphicData>
            </a:graphic>
          </wp:inline>
        </w:drawing>
      </w:r>
    </w:p>
    <w:p w14:paraId="4B052AE8">
      <w:pPr>
        <w:widowControl/>
        <w:numPr>
          <w:ilvl w:val="0"/>
          <w:numId w:val="0"/>
        </w:numPr>
        <w:spacing w:before="0" w:beforeLines="0" w:beforeAutospacing="0" w:after="0" w:afterLines="0" w:afterAutospacing="0" w:line="360" w:lineRule="auto"/>
        <w:jc w:val="left"/>
      </w:pPr>
      <w:r>
        <w:drawing>
          <wp:inline distT="0" distB="0" distL="114300" distR="114300">
            <wp:extent cx="5758815" cy="7948295"/>
            <wp:effectExtent l="0" t="0" r="13335" b="1460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20"/>
                    <a:stretch>
                      <a:fillRect/>
                    </a:stretch>
                  </pic:blipFill>
                  <pic:spPr>
                    <a:xfrm>
                      <a:off x="0" y="0"/>
                      <a:ext cx="5758815" cy="7948295"/>
                    </a:xfrm>
                    <a:prstGeom prst="rect">
                      <a:avLst/>
                    </a:prstGeom>
                    <a:noFill/>
                    <a:ln>
                      <a:noFill/>
                    </a:ln>
                  </pic:spPr>
                </pic:pic>
              </a:graphicData>
            </a:graphic>
          </wp:inline>
        </w:drawing>
      </w:r>
    </w:p>
    <w:p w14:paraId="5BC3D7D0">
      <w:pPr>
        <w:widowControl/>
        <w:spacing w:before="0" w:beforeLines="0" w:beforeAutospacing="0" w:after="0" w:afterLines="0" w:afterAutospacing="0" w:line="360" w:lineRule="auto"/>
        <w:ind w:firstLine="480" w:firstLineChars="200"/>
        <w:jc w:val="left"/>
        <w:rPr>
          <w:rFonts w:ascii="Times New Roman" w:eastAsia="仿宋_GB2312"/>
          <w:b w:val="0"/>
          <w:sz w:val="32"/>
          <w:szCs w:val="32"/>
        </w:rPr>
      </w:pPr>
      <w:r>
        <w:drawing>
          <wp:inline distT="0" distB="0" distL="114300" distR="114300">
            <wp:extent cx="5758180" cy="10427970"/>
            <wp:effectExtent l="0" t="0" r="13970" b="1143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21"/>
                    <a:stretch>
                      <a:fillRect/>
                    </a:stretch>
                  </pic:blipFill>
                  <pic:spPr>
                    <a:xfrm>
                      <a:off x="0" y="0"/>
                      <a:ext cx="5758180" cy="10427970"/>
                    </a:xfrm>
                    <a:prstGeom prst="rect">
                      <a:avLst/>
                    </a:prstGeom>
                    <a:noFill/>
                    <a:ln>
                      <a:noFill/>
                    </a:ln>
                  </pic:spPr>
                </pic:pic>
              </a:graphicData>
            </a:graphic>
          </wp:inline>
        </w:drawing>
      </w:r>
    </w:p>
    <w:p w14:paraId="5C45C39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14:paraId="427A6E13">
      <w:pPr>
        <w:widowControl/>
        <w:spacing w:line="360" w:lineRule="auto"/>
        <w:ind w:firstLine="960" w:firstLineChars="300"/>
        <w:jc w:val="left"/>
        <w:rPr>
          <w:rFonts w:ascii="微软雅黑" w:hAnsi="微软雅黑" w:eastAsia="微软雅黑" w:cs="微软雅黑"/>
          <w:sz w:val="32"/>
          <w:szCs w:val="32"/>
        </w:rPr>
      </w:pPr>
      <w:r>
        <w:rPr>
          <w:rFonts w:hint="eastAsia" w:ascii="Calibri" w:hAnsi="Calibri" w:eastAsia="仿宋_GB2312"/>
          <w:sz w:val="32"/>
          <w:szCs w:val="32"/>
        </w:rPr>
        <w:t>202</w:t>
      </w:r>
      <w:r>
        <w:rPr>
          <w:rFonts w:hint="eastAsia" w:ascii="Calibri" w:hAnsi="Calibri" w:eastAsia="仿宋_GB2312"/>
          <w:sz w:val="32"/>
          <w:szCs w:val="32"/>
          <w:lang w:val="en-US" w:eastAsia="zh-CN"/>
        </w:rPr>
        <w:t>5</w:t>
      </w:r>
      <w:r>
        <w:rPr>
          <w:rFonts w:hint="eastAsia" w:ascii="微软雅黑" w:hAnsi="微软雅黑" w:eastAsia="微软雅黑" w:cs="微软雅黑"/>
          <w:sz w:val="32"/>
          <w:szCs w:val="32"/>
        </w:rPr>
        <w:t>年度</w:t>
      </w:r>
      <w:r>
        <w:rPr>
          <w:rFonts w:ascii="微软雅黑" w:hAnsi="微软雅黑" w:eastAsia="微软雅黑" w:cs="微软雅黑"/>
          <w:sz w:val="32"/>
          <w:szCs w:val="32"/>
        </w:rPr>
        <w:t>无</w:t>
      </w:r>
      <w:r>
        <w:rPr>
          <w:rFonts w:hint="eastAsia" w:ascii="微软雅黑" w:hAnsi="微软雅黑" w:eastAsia="微软雅黑" w:cs="微软雅黑"/>
          <w:sz w:val="32"/>
          <w:szCs w:val="32"/>
        </w:rPr>
        <w:t>部门</w:t>
      </w:r>
      <w:r>
        <w:rPr>
          <w:rFonts w:ascii="微软雅黑" w:hAnsi="微软雅黑" w:eastAsia="微软雅黑" w:cs="微软雅黑"/>
          <w:sz w:val="32"/>
          <w:szCs w:val="32"/>
        </w:rPr>
        <w:t>重点评价项目。</w:t>
      </w:r>
    </w:p>
    <w:p w14:paraId="7D1353CF">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004CEEB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5E74EE7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AC8366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4849337">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3A7DAE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1DD0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DE06B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B63DDE">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3A5083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1FED58C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1A27BD4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25BB922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7230240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72442F0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6D36F36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10411C4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10D55A1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2362305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5B81CA0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6563DB4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38FFF65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21C1D38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262A31C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5883C51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1FE97D5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6A2DBAA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754DF10-19C5-4259-845D-447F2777E3FF}"/>
  </w:font>
  <w:font w:name="黑体">
    <w:panose1 w:val="02010609060101010101"/>
    <w:charset w:val="86"/>
    <w:family w:val="auto"/>
    <w:pitch w:val="default"/>
    <w:sig w:usb0="800002BF" w:usb1="38CF7CFA" w:usb2="00000016" w:usb3="00000000" w:csb0="00040001" w:csb1="00000000"/>
    <w:embedRegular r:id="rId2" w:fontKey="{81FBEAF6-ACA8-417D-82D1-1583835E398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0AE4B936-8ED8-43B8-B92D-3FAE0153606D}"/>
  </w:font>
  <w:font w:name="仿宋">
    <w:panose1 w:val="02010609060101010101"/>
    <w:charset w:val="86"/>
    <w:family w:val="modern"/>
    <w:pitch w:val="default"/>
    <w:sig w:usb0="800002BF" w:usb1="38CF7CFA" w:usb2="00000016" w:usb3="00000000" w:csb0="00040001" w:csb1="00000000"/>
    <w:embedRegular r:id="rId4" w:fontKey="{EA5942CD-1050-4050-B750-401CEC5109D1}"/>
  </w:font>
  <w:font w:name="Calibri Light">
    <w:panose1 w:val="020F0302020204030204"/>
    <w:charset w:val="00"/>
    <w:family w:val="auto"/>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D4FA91B6-E6AD-4642-AA71-5AD3AEB95A37}"/>
  </w:font>
  <w:font w:name="楷体_GB2312">
    <w:panose1 w:val="02010609030101010101"/>
    <w:charset w:val="86"/>
    <w:family w:val="auto"/>
    <w:pitch w:val="default"/>
    <w:sig w:usb0="00000001" w:usb1="080E0000" w:usb2="00000000" w:usb3="00000000" w:csb0="00040000" w:csb1="00000000"/>
    <w:embedRegular r:id="rId6" w:fontKey="{E233C2E4-3520-408E-9255-D5B9C29AE55E}"/>
  </w:font>
  <w:font w:name="微软雅黑">
    <w:panose1 w:val="020B0503020204020204"/>
    <w:charset w:val="86"/>
    <w:family w:val="auto"/>
    <w:pitch w:val="default"/>
    <w:sig w:usb0="80000287" w:usb1="2ACF3C50" w:usb2="00000016" w:usb3="00000000" w:csb0="0004001F" w:csb1="00000000"/>
    <w:embedRegular r:id="rId7" w:fontKey="{84C81D39-CFD2-4876-96CF-FFD0F6569467}"/>
  </w:font>
  <w:font w:name="方正小标宋_GBK">
    <w:panose1 w:val="02000000000000000000"/>
    <w:charset w:val="86"/>
    <w:family w:val="script"/>
    <w:pitch w:val="default"/>
    <w:sig w:usb0="A00002BF" w:usb1="38CF7CFA" w:usb2="00082016" w:usb3="00000000" w:csb0="00040001" w:csb1="00000000"/>
    <w:embedRegular r:id="rId8" w:fontKey="{FC61A045-EB85-45C8-A775-EE4F077A1F5E}"/>
  </w:font>
  <w:font w:name="仿宋_GB2312">
    <w:panose1 w:val="02010609030101010101"/>
    <w:charset w:val="86"/>
    <w:family w:val="auto"/>
    <w:pitch w:val="default"/>
    <w:sig w:usb0="00000001" w:usb1="080E0000" w:usb2="00000000" w:usb3="00000000" w:csb0="00040000" w:csb1="00000000"/>
    <w:embedRegular r:id="rId9" w:fontKey="{21D6E79C-33C2-40E8-8ED5-144B77C640D4}"/>
  </w:font>
  <w:font w:name="MS Mincho">
    <w:panose1 w:val="02020609040205080304"/>
    <w:charset w:val="80"/>
    <w:family w:val="modern"/>
    <w:pitch w:val="default"/>
    <w:sig w:usb0="E00002FF" w:usb1="6AC7FDFB" w:usb2="00000012" w:usb3="00000000" w:csb0="4002009F" w:csb1="DFD70000"/>
    <w:embedRegular r:id="rId10" w:fontKey="{7FA8A13A-F248-40A4-8607-01F232B9B83D}"/>
  </w:font>
  <w:font w:name="ArialUnicodeMS">
    <w:altName w:val="Malgun Gothic"/>
    <w:panose1 w:val="00000000000000000000"/>
    <w:charset w:val="81"/>
    <w:family w:val="auto"/>
    <w:pitch w:val="default"/>
    <w:sig w:usb0="00000000" w:usb1="00000000" w:usb2="00000010" w:usb3="00000000" w:csb0="00080001" w:csb1="00000000"/>
    <w:embedRegular r:id="rId11" w:fontKey="{FE50432D-5E0E-42D6-B2CE-338FE0FE6565}"/>
  </w:font>
  <w:font w:name="Malgun Gothic">
    <w:panose1 w:val="020B0503020000020004"/>
    <w:charset w:val="81"/>
    <w:family w:val="auto"/>
    <w:pitch w:val="default"/>
    <w:sig w:usb0="9000002F" w:usb1="29D77CFB" w:usb2="00000012" w:usb3="00000000" w:csb0="00080001" w:csb1="00000000"/>
  </w:font>
  <w:font w:name="WPSEMBED1">
    <w:panose1 w:val="02010609030101010101"/>
    <w:charset w:val="86"/>
    <w:family w:val="auto"/>
    <w:pitch w:val="default"/>
    <w:sig w:usb0="00000001" w:usb1="080E0000" w:usb2="00000000" w:usb3="00000000" w:csb0="00040000" w:csb1="00000000"/>
  </w:font>
  <w:font w:name="WPSEMBED2">
    <w:panose1 w:val="02000000000000000000"/>
    <w:charset w:val="86"/>
    <w:family w:val="auto"/>
    <w:pitch w:val="default"/>
    <w:sig w:usb0="A00002BF" w:usb1="38CF7CFA" w:usb2="00082016" w:usb3="00000000" w:csb0="00040001" w:csb1="00000000"/>
  </w:font>
  <w:font w:name="WPSEMBED3">
    <w:panose1 w:val="02010609030101010101"/>
    <w:charset w:val="86"/>
    <w:family w:val="auto"/>
    <w:pitch w:val="default"/>
    <w:sig w:usb0="00000001" w:usb1="080E0000" w:usb2="00000000" w:usb3="00000000" w:csb0="00040000" w:csb1="00000000"/>
  </w:font>
  <w:font w:name="WPSEMBED4">
    <w:panose1 w:val="020206090402050803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36E31">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713120">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A9738">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0E8F61">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79D5C1"/>
    <w:multiLevelType w:val="singleLevel"/>
    <w:tmpl w:val="5779D5C1"/>
    <w:lvl w:ilvl="0" w:tentative="0">
      <w:start w:val="1"/>
      <w:numFmt w:val="decimal"/>
      <w:suff w:val="nothing"/>
      <w:lvlText w:val="%1、"/>
      <w:lvlJc w:val="left"/>
    </w:lvl>
  </w:abstractNum>
  <w:abstractNum w:abstractNumId="1">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B096A"/>
    <w:rsid w:val="049C1B9D"/>
    <w:rsid w:val="04BD008C"/>
    <w:rsid w:val="04C55939"/>
    <w:rsid w:val="04DA28BB"/>
    <w:rsid w:val="04F528BE"/>
    <w:rsid w:val="050E10CE"/>
    <w:rsid w:val="054F2DFB"/>
    <w:rsid w:val="05991C82"/>
    <w:rsid w:val="05CD1EC8"/>
    <w:rsid w:val="05E57574"/>
    <w:rsid w:val="061416A9"/>
    <w:rsid w:val="061D60A6"/>
    <w:rsid w:val="06236884"/>
    <w:rsid w:val="06B07006"/>
    <w:rsid w:val="06E2459D"/>
    <w:rsid w:val="06E30650"/>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9D8322F"/>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8C29D7"/>
    <w:rsid w:val="129E45A7"/>
    <w:rsid w:val="13074404"/>
    <w:rsid w:val="136A5C00"/>
    <w:rsid w:val="13B97B08"/>
    <w:rsid w:val="13C527AC"/>
    <w:rsid w:val="13E830EB"/>
    <w:rsid w:val="14711797"/>
    <w:rsid w:val="147B6F17"/>
    <w:rsid w:val="14D42061"/>
    <w:rsid w:val="15081C8B"/>
    <w:rsid w:val="15090D5C"/>
    <w:rsid w:val="15CC19E2"/>
    <w:rsid w:val="15CF053D"/>
    <w:rsid w:val="15E0131A"/>
    <w:rsid w:val="15E11DC0"/>
    <w:rsid w:val="16457D9F"/>
    <w:rsid w:val="17223EFF"/>
    <w:rsid w:val="17AA5F28"/>
    <w:rsid w:val="17B713F6"/>
    <w:rsid w:val="184350A0"/>
    <w:rsid w:val="187D53EA"/>
    <w:rsid w:val="18935485"/>
    <w:rsid w:val="18951461"/>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4C41A9"/>
    <w:rsid w:val="2B695031"/>
    <w:rsid w:val="2B735A8F"/>
    <w:rsid w:val="2BA7478D"/>
    <w:rsid w:val="2BB038DB"/>
    <w:rsid w:val="2BB761E0"/>
    <w:rsid w:val="2BB812F9"/>
    <w:rsid w:val="2BCE7FDF"/>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B92D54"/>
    <w:rsid w:val="2FFC7AC2"/>
    <w:rsid w:val="301430AF"/>
    <w:rsid w:val="30630612"/>
    <w:rsid w:val="308E59B0"/>
    <w:rsid w:val="30B10568"/>
    <w:rsid w:val="30E070F0"/>
    <w:rsid w:val="30E55DD3"/>
    <w:rsid w:val="30E60399"/>
    <w:rsid w:val="311C359A"/>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1E1B63"/>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A59CA"/>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790508"/>
    <w:rsid w:val="41A203A0"/>
    <w:rsid w:val="41A25D3E"/>
    <w:rsid w:val="41C77987"/>
    <w:rsid w:val="41E83F8C"/>
    <w:rsid w:val="41FF61BD"/>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E5444B"/>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BA0BE5"/>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CFD4328"/>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370E2"/>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4561C0"/>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1E37BA"/>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4.png"/><Relationship Id="rId20" Type="http://schemas.openxmlformats.org/officeDocument/2006/relationships/image" Target="media/image3.png"/><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19190.8</c:v>
                </c:pt>
                <c:pt idx="1">
                  <c:v>21965.44</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142891555.48</c:v>
                </c:pt>
                <c:pt idx="1">
                  <c:v>0</c:v>
                </c:pt>
                <c:pt idx="2">
                  <c:v>49016482.06</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127469999.48</c:v>
                </c:pt>
                <c:pt idx="1">
                  <c:v>64438038.06</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19549.58</c:v>
                </c:pt>
                <c:pt idx="1">
                  <c:v>19578.26</c:v>
                </c:pt>
                <c:pt idx="2">
                  <c:v>19549.58</c:v>
                </c:pt>
                <c:pt idx="3">
                  <c:v>19578.26</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14289.16</c:v>
                </c:pt>
                <c:pt idx="1">
                  <c:v>14289.16</c:v>
                </c:pt>
                <c:pt idx="2">
                  <c:v>14289.16</c:v>
                </c:pt>
                <c:pt idx="3">
                  <c:v>14289.16</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19929.36</c:v>
                </c:pt>
                <c:pt idx="1">
                  <c:v>19929.36</c:v>
                </c:pt>
                <c:pt idx="2">
                  <c:v>19929.36</c:v>
                </c:pt>
                <c:pt idx="3">
                  <c:v>19929.36</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14289.16</c:v>
                </c:pt>
                <c:pt idx="1">
                  <c:v>14289.16</c:v>
                </c:pt>
                <c:pt idx="2">
                  <c:v>14289.16</c:v>
                </c:pt>
                <c:pt idx="3">
                  <c:v>14289.16</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47</Pages>
  <Words>11152</Words>
  <Characters>14219</Characters>
  <Lines>86</Lines>
  <Paragraphs>24</Paragraphs>
  <TotalTime>10</TotalTime>
  <ScaleCrop>false</ScaleCrop>
  <LinksUpToDate>false</LinksUpToDate>
  <CharactersWithSpaces>14749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任江涛</cp:lastModifiedBy>
  <cp:lastPrinted>2023-08-04T01:00:00Z</cp:lastPrinted>
  <dcterms:modified xsi:type="dcterms:W3CDTF">2026-10-16T05:42:11Z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3E5201597C4D48548AF2F43BC94689CE_13</vt:lpwstr>
  </property>
  <property fmtid="{D5CDD505-2E9C-101B-9397-08002B2CF9AE}" pid="4" name="KSOTemplateUUID">
    <vt:lpwstr>v1.0_mb_S7ajbG3IpAnL1wSthNCxfw==</vt:lpwstr>
  </property>
  <property fmtid="{D5CDD505-2E9C-101B-9397-08002B2CF9AE}" pid="5" name="KSOTemplateDocerSaveRecord">
    <vt:lpwstr>eyJoZGlkIjoiYWMxOTkzODBkNDM5ZWE0ZGMzYzA4NzJlZDAyYzYwN2EiLCJ1c2VySWQiOiIxNTY4Nzk1MjExIn0=</vt:lpwstr>
  </property>
</Properties>
</file>